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6B18" w:rsidRDefault="000F6B18">
      <w:pPr>
        <w:pStyle w:val="Didascalia1"/>
        <w:spacing w:after="0"/>
        <w:rPr>
          <w:b/>
        </w:rPr>
      </w:pPr>
      <w:bookmarkStart w:id="0" w:name="_GoBack"/>
      <w:bookmarkEnd w:id="0"/>
    </w:p>
    <w:p w:rsidR="000F6B18" w:rsidRDefault="001B0EF9">
      <w:pPr>
        <w:pStyle w:val="Didascalia1"/>
        <w:spacing w:after="0"/>
        <w:rPr>
          <w:b/>
        </w:rPr>
      </w:pPr>
      <w:r>
        <w:rPr>
          <w:b/>
        </w:rPr>
        <w:t>Firenze, 22 novembre 2016</w:t>
      </w:r>
    </w:p>
    <w:p w:rsidR="000F6B18" w:rsidRDefault="001B0EF9">
      <w:pPr>
        <w:pStyle w:val="Didascalia1"/>
        <w:spacing w:after="0"/>
        <w:jc w:val="right"/>
        <w:rPr>
          <w:b/>
        </w:rPr>
      </w:pPr>
      <w:r>
        <w:rPr>
          <w:b/>
        </w:rPr>
        <w:t>Al Presidente del</w:t>
      </w:r>
    </w:p>
    <w:p w:rsidR="000F6B18" w:rsidRDefault="001B0EF9">
      <w:pPr>
        <w:pStyle w:val="Didascalia1"/>
        <w:spacing w:after="0"/>
        <w:jc w:val="right"/>
      </w:pPr>
      <w:r>
        <w:rPr>
          <w:b/>
        </w:rPr>
        <w:t>Consiglio Regionale Toscano</w:t>
      </w:r>
    </w:p>
    <w:p w:rsidR="000F6B18" w:rsidRDefault="000F6B18">
      <w:pPr>
        <w:shd w:val="clear" w:color="auto" w:fill="FFFFFF"/>
        <w:spacing w:before="100"/>
        <w:jc w:val="both"/>
      </w:pPr>
    </w:p>
    <w:p w:rsidR="000F6B18" w:rsidRDefault="000F6B18">
      <w:pPr>
        <w:pStyle w:val="Didascalia1"/>
        <w:spacing w:after="0"/>
        <w:jc w:val="right"/>
        <w:rPr>
          <w:b/>
        </w:rPr>
      </w:pPr>
    </w:p>
    <w:p w:rsidR="000F6B18" w:rsidRDefault="001B0EF9">
      <w:pPr>
        <w:rPr>
          <w:lang w:val="en-US"/>
        </w:rPr>
      </w:pPr>
      <w:r>
        <w:rPr>
          <w:rStyle w:val="Enfasigrassetto"/>
          <w:rFonts w:ascii="Times New Roman" w:hAnsi="Times New Roman" w:cs="Times New Roman"/>
          <w:szCs w:val="24"/>
          <w:lang w:val="en-US"/>
        </w:rPr>
        <w:t>PdRIS ex art.180 Reg. Int.</w:t>
      </w:r>
    </w:p>
    <w:p w:rsidR="000F6B18" w:rsidRDefault="000F6B18">
      <w:pPr>
        <w:rPr>
          <w:lang w:val="en-US"/>
        </w:rPr>
      </w:pPr>
    </w:p>
    <w:p w:rsidR="000F6B18" w:rsidRDefault="001B0EF9">
      <w:r>
        <w:rPr>
          <w:rStyle w:val="Enfasigrassetto"/>
          <w:rFonts w:ascii="Times New Roman" w:hAnsi="Times New Roman" w:cs="Times New Roman"/>
          <w:szCs w:val="24"/>
        </w:rPr>
        <w:t xml:space="preserve">Oggetto: collegata alla Comunicazione n.17 </w:t>
      </w:r>
      <w:r>
        <w:rPr>
          <w:rStyle w:val="Enfasigrassetto"/>
          <w:rFonts w:ascii="Times New Roman" w:hAnsi="Times New Roman" w:cs="Times New Roman"/>
          <w:b w:val="0"/>
          <w:szCs w:val="24"/>
        </w:rPr>
        <w:t xml:space="preserve">“Comunicazione della Giunta regionale in merito alle politiche regionali in materia di ciclo integrato dei </w:t>
      </w:r>
      <w:r>
        <w:rPr>
          <w:rStyle w:val="Enfasigrassetto"/>
          <w:rFonts w:ascii="Times New Roman" w:hAnsi="Times New Roman" w:cs="Times New Roman"/>
          <w:b w:val="0"/>
          <w:szCs w:val="24"/>
        </w:rPr>
        <w:t>rifiuti alla luce dell’attività giudiziaria in corso sugli affidamenti operati da ATO Sud Toscana.”</w:t>
      </w:r>
    </w:p>
    <w:p w:rsidR="000F6B18" w:rsidRDefault="000F6B18"/>
    <w:p w:rsidR="000F6B18" w:rsidRDefault="000F6B18">
      <w:pPr>
        <w:widowControl w:val="0"/>
        <w:rPr>
          <w:rFonts w:ascii="Times New Roman" w:hAnsi="Times New Roman" w:cs="Times New Roman"/>
        </w:rPr>
      </w:pPr>
    </w:p>
    <w:p w:rsidR="000F6B18" w:rsidRDefault="001B0EF9">
      <w:pPr>
        <w:spacing w:after="75"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Oswald" w:hAnsi="Oswald" w:cs="Oswald"/>
          <w:b/>
          <w:color w:val="000000"/>
          <w:szCs w:val="24"/>
        </w:rPr>
        <w:t xml:space="preserve">Il Consiglio Regionale </w:t>
      </w:r>
    </w:p>
    <w:p w:rsidR="000F6B18" w:rsidRDefault="001B0EF9">
      <w:pPr>
        <w:jc w:val="center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premesso che</w:t>
      </w:r>
    </w:p>
    <w:p w:rsidR="000F6B18" w:rsidRDefault="000F6B18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0F6B18" w:rsidRDefault="001B0EF9">
      <w:p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i recenti fatti illeciti, ipotizzati dalla Magistratura fiorentina, sui rapporti tra ATO Toscana Sud e il Gestore de</w:t>
      </w:r>
      <w:r>
        <w:rPr>
          <w:rFonts w:ascii="Times New Roman" w:hAnsi="Times New Roman" w:cs="Times New Roman"/>
          <w:color w:val="000000"/>
          <w:szCs w:val="24"/>
        </w:rPr>
        <w:t>l Servizio, SEI Toscana, a cui è affidata da due anni la raccolta e lo smaltimento dei rifiuti urbani nelle province di Grosseto, Siena ed Arezzo, sono soltanto una conferma, marginale quanto autorevole, di un fallimento in atto delle scelte regionali in m</w:t>
      </w:r>
      <w:r>
        <w:rPr>
          <w:rFonts w:ascii="Times New Roman" w:hAnsi="Times New Roman" w:cs="Times New Roman"/>
          <w:color w:val="000000"/>
          <w:szCs w:val="24"/>
        </w:rPr>
        <w:t>ateria avviate nell'ultimo decennio; fallimento già segnalato e quantificato da tempo dai numeri ufficiali, solidi e incontrovertibili, ricavati dai bilanci consuntivi dei Comuni, cui spesso sono state contrapposte affermazioni propagandistiche e autoceleb</w:t>
      </w:r>
      <w:r>
        <w:rPr>
          <w:rFonts w:ascii="Times New Roman" w:hAnsi="Times New Roman" w:cs="Times New Roman"/>
          <w:color w:val="000000"/>
          <w:szCs w:val="24"/>
        </w:rPr>
        <w:t>rative prive di fondamento oggettivo;</w:t>
      </w:r>
    </w:p>
    <w:p w:rsidR="000F6B18" w:rsidRDefault="000F6B18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0F6B18" w:rsidRDefault="001B0EF9">
      <w:p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il suddetto fallimento è da anni documentato dai dati pubblicati dal Ministero dell'Ambiente il quale, nel rispetto dello specifico compito</w:t>
      </w:r>
      <w:r>
        <w:rPr>
          <w:rStyle w:val="Richiamoallanotaapidipagina"/>
          <w:rFonts w:ascii="Times New Roman" w:hAnsi="Times New Roman" w:cs="Times New Roman"/>
          <w:color w:val="000000"/>
          <w:szCs w:val="24"/>
        </w:rPr>
        <w:footnoteReference w:id="1"/>
      </w:r>
      <w:r>
        <w:rPr>
          <w:rFonts w:ascii="Times New Roman" w:hAnsi="Times New Roman" w:cs="Times New Roman"/>
          <w:color w:val="000000"/>
          <w:szCs w:val="24"/>
        </w:rPr>
        <w:t xml:space="preserve"> istituzionale, con i Rapporti annuali ISPRA</w:t>
      </w:r>
      <w:r>
        <w:rPr>
          <w:rStyle w:val="Richiamoallanotaapidipagina"/>
          <w:rFonts w:ascii="Times New Roman" w:hAnsi="Times New Roman" w:cs="Times New Roman"/>
          <w:color w:val="000000"/>
          <w:szCs w:val="24"/>
        </w:rPr>
        <w:footnoteReference w:id="2"/>
      </w:r>
      <w:r>
        <w:rPr>
          <w:rFonts w:ascii="Times New Roman" w:hAnsi="Times New Roman" w:cs="Times New Roman"/>
          <w:color w:val="000000"/>
          <w:szCs w:val="24"/>
        </w:rPr>
        <w:t xml:space="preserve"> sui rifiuti urbani, registra pe</w:t>
      </w:r>
      <w:r>
        <w:rPr>
          <w:rFonts w:ascii="Times New Roman" w:hAnsi="Times New Roman" w:cs="Times New Roman"/>
          <w:color w:val="000000"/>
          <w:szCs w:val="24"/>
        </w:rPr>
        <w:t>r la regione Toscana:</w:t>
      </w:r>
    </w:p>
    <w:p w:rsidR="000F6B18" w:rsidRDefault="001B0EF9">
      <w:pPr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la maggiore produzione</w:t>
      </w:r>
      <w:r>
        <w:rPr>
          <w:rStyle w:val="Richiamoallanotaapidipagina"/>
          <w:rFonts w:ascii="Times New Roman" w:hAnsi="Times New Roman" w:cs="Times New Roman"/>
          <w:color w:val="000000"/>
          <w:szCs w:val="24"/>
        </w:rPr>
        <w:footnoteReference w:id="3"/>
      </w:r>
      <w:r>
        <w:rPr>
          <w:rFonts w:ascii="Times New Roman" w:hAnsi="Times New Roman" w:cs="Times New Roman"/>
          <w:color w:val="000000"/>
          <w:szCs w:val="24"/>
        </w:rPr>
        <w:t xml:space="preserve"> pro capite di rifiuto d'Italia, dopo l'Emilia;</w:t>
      </w:r>
    </w:p>
    <w:p w:rsidR="000F6B18" w:rsidRDefault="001B0EF9">
      <w:pPr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la più bassa racconta differenziata</w:t>
      </w:r>
      <w:r>
        <w:rPr>
          <w:rStyle w:val="Richiamoallanotaapidipagina"/>
          <w:rFonts w:ascii="Times New Roman" w:hAnsi="Times New Roman" w:cs="Times New Roman"/>
          <w:color w:val="000000"/>
          <w:szCs w:val="24"/>
        </w:rPr>
        <w:footnoteReference w:id="4"/>
      </w:r>
      <w:r>
        <w:rPr>
          <w:rFonts w:ascii="Times New Roman" w:hAnsi="Times New Roman" w:cs="Times New Roman"/>
          <w:color w:val="000000"/>
          <w:szCs w:val="24"/>
        </w:rPr>
        <w:t xml:space="preserve"> del centro nord Italia, dopo il Lazio e Liguria;</w:t>
      </w:r>
    </w:p>
    <w:p w:rsidR="000F6B18" w:rsidRDefault="001B0EF9">
      <w:pPr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il più alto costo</w:t>
      </w:r>
      <w:r>
        <w:rPr>
          <w:rStyle w:val="Richiamoallanotaapidipagina"/>
          <w:rFonts w:ascii="Times New Roman" w:hAnsi="Times New Roman" w:cs="Times New Roman"/>
          <w:color w:val="000000"/>
          <w:szCs w:val="24"/>
        </w:rPr>
        <w:footnoteReference w:id="5"/>
      </w:r>
      <w:r>
        <w:rPr>
          <w:rFonts w:ascii="Times New Roman" w:hAnsi="Times New Roman" w:cs="Times New Roman"/>
          <w:color w:val="000000"/>
          <w:szCs w:val="24"/>
        </w:rPr>
        <w:t xml:space="preserve"> annuo pro capite  del centro nord Italia, dopo il Lazio;</w:t>
      </w:r>
    </w:p>
    <w:p w:rsidR="000F6B18" w:rsidRDefault="001B0EF9">
      <w:p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confermando che la regione Toscana in fatto di percentuali di raccolta differenziata ha mancato</w:t>
      </w:r>
      <w:r>
        <w:rPr>
          <w:rStyle w:val="Richiamoallanotaapidipagina"/>
          <w:rFonts w:ascii="Times New Roman" w:hAnsi="Times New Roman" w:cs="Times New Roman"/>
          <w:color w:val="000000"/>
          <w:szCs w:val="24"/>
        </w:rPr>
        <w:footnoteReference w:id="6"/>
      </w:r>
      <w:r>
        <w:rPr>
          <w:rFonts w:ascii="Times New Roman" w:hAnsi="Times New Roman" w:cs="Times New Roman"/>
          <w:color w:val="000000"/>
          <w:szCs w:val="24"/>
        </w:rPr>
        <w:t xml:space="preserve"> di volta in volta tutti gli obiettivi di legge fissati: per il 2009 con il livello del 50%, per il 2011 con il livello del 60% e per il 2012 con il livello del</w:t>
      </w:r>
      <w:r>
        <w:rPr>
          <w:rFonts w:ascii="Times New Roman" w:hAnsi="Times New Roman" w:cs="Times New Roman"/>
          <w:color w:val="000000"/>
          <w:szCs w:val="24"/>
        </w:rPr>
        <w:t xml:space="preserve"> 65%;</w:t>
      </w:r>
    </w:p>
    <w:p w:rsidR="000F6B18" w:rsidRDefault="001B0EF9">
      <w:p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0F6B18" w:rsidRDefault="001B0EF9">
      <w:p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lastRenderedPageBreak/>
        <w:t>il suddetto quadro è fortemente condizionato dai risultati della programmazione e gestione realizzata dall'Ato Toscana Sud con:</w:t>
      </w:r>
    </w:p>
    <w:p w:rsidR="000F6B18" w:rsidRDefault="001B0EF9">
      <w:pPr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i dati certificati delle province di Grosseto, Arezzo e Siena, rispettivamente</w:t>
      </w:r>
      <w:r>
        <w:rPr>
          <w:rStyle w:val="Richiamoallanotaapidipagina"/>
          <w:rFonts w:ascii="Times New Roman" w:hAnsi="Times New Roman" w:cs="Times New Roman"/>
          <w:color w:val="000000"/>
          <w:szCs w:val="24"/>
        </w:rPr>
        <w:footnoteReference w:id="7"/>
      </w:r>
      <w:r>
        <w:rPr>
          <w:rFonts w:ascii="Times New Roman" w:hAnsi="Times New Roman" w:cs="Times New Roman"/>
          <w:color w:val="000000"/>
          <w:szCs w:val="24"/>
        </w:rPr>
        <w:t xml:space="preserve"> al 30, 31 e 39% di raccolta differenziata, in clamorosa riduzione</w:t>
      </w:r>
      <w:r>
        <w:rPr>
          <w:rStyle w:val="Richiamoallanotaapidipagina"/>
          <w:rFonts w:ascii="Times New Roman" w:hAnsi="Times New Roman" w:cs="Times New Roman"/>
          <w:color w:val="000000"/>
          <w:szCs w:val="24"/>
        </w:rPr>
        <w:footnoteReference w:id="8"/>
      </w:r>
      <w:r>
        <w:rPr>
          <w:rFonts w:ascii="Times New Roman" w:hAnsi="Times New Roman" w:cs="Times New Roman"/>
          <w:color w:val="000000"/>
          <w:szCs w:val="24"/>
        </w:rPr>
        <w:t xml:space="preserve"> in tutte e tre le province, rispetto ai dati fatti registrare negli anni precedenti e il peggior risultato del centro nord Italia, superati in negativo solo da Rieti e Latina;</w:t>
      </w:r>
    </w:p>
    <w:p w:rsidR="000F6B18" w:rsidRDefault="001B0EF9">
      <w:pPr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i costi</w:t>
      </w:r>
      <w:r>
        <w:rPr>
          <w:rStyle w:val="Richiamoallanotaapidipagina"/>
          <w:rFonts w:ascii="Times New Roman" w:hAnsi="Times New Roman" w:cs="Times New Roman"/>
          <w:color w:val="000000"/>
          <w:szCs w:val="24"/>
        </w:rPr>
        <w:footnoteReference w:id="9"/>
      </w:r>
      <w:r>
        <w:rPr>
          <w:rFonts w:ascii="Times New Roman" w:hAnsi="Times New Roman" w:cs="Times New Roman"/>
          <w:color w:val="000000"/>
          <w:szCs w:val="24"/>
        </w:rPr>
        <w:t xml:space="preserve"> del</w:t>
      </w:r>
      <w:r>
        <w:rPr>
          <w:rFonts w:ascii="Times New Roman" w:hAnsi="Times New Roman" w:cs="Times New Roman"/>
          <w:color w:val="000000"/>
          <w:szCs w:val="24"/>
        </w:rPr>
        <w:t xml:space="preserve">le tariffe rifiuti nella provincia di Grosseto, che sono i più elevati di tutto il centro nord Italia; </w:t>
      </w:r>
    </w:p>
    <w:p w:rsidR="000F6B18" w:rsidRDefault="000F6B18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0F6B18" w:rsidRDefault="001B0EF9">
      <w:p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i suddetti risultati, di indubbia inefficienza economica e inefficacia, sono il prodotto di scelte condizionate da interessi legati alla filiera dell'i</w:t>
      </w:r>
      <w:r>
        <w:rPr>
          <w:rFonts w:ascii="Times New Roman" w:hAnsi="Times New Roman" w:cs="Times New Roman"/>
          <w:color w:val="000000"/>
          <w:szCs w:val="24"/>
        </w:rPr>
        <w:t>ncenerimento, come dimostrano le relazioni svelate di recente dall'Ordinanza del GIP di Firenze e le Convenzioni</w:t>
      </w:r>
      <w:r>
        <w:rPr>
          <w:rStyle w:val="Richiamoallanotaapidipagina"/>
          <w:rFonts w:ascii="Times New Roman" w:hAnsi="Times New Roman" w:cs="Times New Roman"/>
          <w:color w:val="000000"/>
          <w:szCs w:val="24"/>
        </w:rPr>
        <w:footnoteReference w:id="10"/>
      </w:r>
      <w:r>
        <w:rPr>
          <w:rFonts w:ascii="Times New Roman" w:hAnsi="Times New Roman" w:cs="Times New Roman"/>
          <w:color w:val="000000"/>
          <w:szCs w:val="24"/>
        </w:rPr>
        <w:t xml:space="preserve"> in essere, che ingessano i Comuni a conferire per decenni le stesse quantità di rifiuto </w:t>
      </w:r>
      <w:r>
        <w:rPr>
          <w:rFonts w:ascii="Times New Roman" w:hAnsi="Times New Roman" w:cs="Times New Roman"/>
          <w:i/>
          <w:iCs/>
          <w:color w:val="000000"/>
          <w:szCs w:val="24"/>
        </w:rPr>
        <w:t>indifferenziato</w:t>
      </w:r>
      <w:r>
        <w:rPr>
          <w:rFonts w:ascii="Times New Roman" w:hAnsi="Times New Roman" w:cs="Times New Roman"/>
          <w:color w:val="000000"/>
          <w:szCs w:val="24"/>
        </w:rPr>
        <w:t xml:space="preserve"> per produrre il combustibile da incene</w:t>
      </w:r>
      <w:r>
        <w:rPr>
          <w:rFonts w:ascii="Times New Roman" w:hAnsi="Times New Roman" w:cs="Times New Roman"/>
          <w:color w:val="000000"/>
          <w:szCs w:val="24"/>
        </w:rPr>
        <w:t>rire o per mantenere elevato nel rifiuto residuo, comunque trattato, il potere calorifico per la combustione, fornito solo da plastiche e carte;</w:t>
      </w:r>
    </w:p>
    <w:p w:rsidR="000F6B18" w:rsidRDefault="000F6B18">
      <w:pPr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0F6B18" w:rsidRDefault="001B0EF9">
      <w:pPr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tenuto conto che:</w:t>
      </w:r>
    </w:p>
    <w:p w:rsidR="000F6B18" w:rsidRDefault="000F6B18">
      <w:pPr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0F6B18" w:rsidRDefault="001B0EF9">
      <w:p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le scelte</w:t>
      </w:r>
      <w:r>
        <w:rPr>
          <w:rStyle w:val="Richiamoallanotaapidipagina"/>
          <w:rFonts w:ascii="Times New Roman" w:hAnsi="Times New Roman" w:cs="Times New Roman"/>
          <w:color w:val="000000"/>
          <w:szCs w:val="24"/>
        </w:rPr>
        <w:footnoteReference w:id="11"/>
      </w:r>
      <w:r>
        <w:rPr>
          <w:rFonts w:ascii="Times New Roman" w:hAnsi="Times New Roman" w:cs="Times New Roman"/>
          <w:color w:val="000000"/>
          <w:szCs w:val="24"/>
        </w:rPr>
        <w:t xml:space="preserve"> del Consiglio regionale toscano in fatto di programmazione del settore si confor</w:t>
      </w:r>
      <w:r>
        <w:rPr>
          <w:rFonts w:ascii="Times New Roman" w:hAnsi="Times New Roman" w:cs="Times New Roman"/>
          <w:color w:val="000000"/>
          <w:szCs w:val="24"/>
        </w:rPr>
        <w:t>mano alle Direttive europee in materia, laddove è stato stabilito che la raccolta differenziata dei rifiuti urbani deve raggiungere entro il 2020 il 70% del totale RU,  passando dalle circa 900.000 t/a attuali a circa 1,7 milioni di t/a, con un riciclo eff</w:t>
      </w:r>
      <w:r>
        <w:rPr>
          <w:rFonts w:ascii="Times New Roman" w:hAnsi="Times New Roman" w:cs="Times New Roman"/>
          <w:color w:val="000000"/>
          <w:szCs w:val="24"/>
        </w:rPr>
        <w:t>ettivo di materia da rifiuti urbani di almeno il 60% degli stessi;</w:t>
      </w:r>
    </w:p>
    <w:p w:rsidR="000F6B18" w:rsidRDefault="000F6B18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0F6B18" w:rsidRDefault="001B0EF9">
      <w:p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tali obiettivi, se non intendono essere meramente propagandistici, necessitano di essere accompagnati dalla previsione di verifiche attente e tempestive - condotte anno per anno e affidate</w:t>
      </w:r>
      <w:r>
        <w:rPr>
          <w:rFonts w:ascii="Times New Roman" w:hAnsi="Times New Roman" w:cs="Times New Roman"/>
          <w:color w:val="000000"/>
          <w:szCs w:val="24"/>
        </w:rPr>
        <w:t xml:space="preserve"> a soggetti terzi - sia rispetto al Programmatore politico che al Gestore del servizio, al fine di verificare che i reali andamenti della gestione nei vari territori della regione non arrivino a risultati apertamente in contraddizione con tali obiettivi;</w:t>
      </w:r>
    </w:p>
    <w:p w:rsidR="000F6B18" w:rsidRDefault="000F6B18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0F6B18" w:rsidRDefault="001B0EF9">
      <w:pPr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a supporto della Giunta e con competenza su tutto il territorio regionale, è stato istituito l’ “Osservatorio regionale per il servizio idrico integrato e di gestione integrata dei rifiuti urbani”, il quale </w:t>
      </w:r>
      <w:r>
        <w:rPr>
          <w:rFonts w:ascii="Times New Roman" w:hAnsi="Times New Roman" w:cs="Times New Roman"/>
          <w:szCs w:val="24"/>
        </w:rPr>
        <w:t>avrebbe</w:t>
      </w:r>
      <w:r>
        <w:rPr>
          <w:rFonts w:ascii="Times New Roman" w:hAnsi="Times New Roman" w:cs="Times New Roman"/>
          <w:color w:val="000000"/>
          <w:szCs w:val="24"/>
        </w:rPr>
        <w:t xml:space="preserve"> il compito specifico di acquisire ed elab</w:t>
      </w:r>
      <w:r>
        <w:rPr>
          <w:rFonts w:ascii="Times New Roman" w:hAnsi="Times New Roman" w:cs="Times New Roman"/>
          <w:color w:val="000000"/>
          <w:szCs w:val="24"/>
        </w:rPr>
        <w:t>orare dati e informazioni con particolare riferimento proprio alle convenzioni e ai contratti di affidamento dei servizi e ai livelli qualitativi degli stessi, anche attraverso la comparazione con modelli applicati in altri territori;</w:t>
      </w:r>
    </w:p>
    <w:p w:rsidR="000F6B18" w:rsidRDefault="000F6B18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0F6B18" w:rsidRDefault="001B0EF9">
      <w:p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la Regione Toscana n</w:t>
      </w:r>
      <w:r>
        <w:rPr>
          <w:rFonts w:ascii="Times New Roman" w:hAnsi="Times New Roman" w:cs="Times New Roman"/>
          <w:color w:val="000000"/>
          <w:szCs w:val="24"/>
        </w:rPr>
        <w:t>on ha quindi previsto l'istituzione di un Osservatorio in ciascun ATO - pur avendo la Regione assorbito le funzioni già assegnate dalla legislazione del settore alle Province e pur essendo l'Osservatorio contemplato nella legislazione nazionale</w:t>
      </w:r>
      <w:r>
        <w:rPr>
          <w:rStyle w:val="Richiamoallanotaapidipagina"/>
          <w:rFonts w:ascii="Times New Roman" w:hAnsi="Times New Roman" w:cs="Times New Roman"/>
          <w:color w:val="000000"/>
          <w:szCs w:val="24"/>
        </w:rPr>
        <w:footnoteReference w:id="12"/>
      </w:r>
      <w:r>
        <w:rPr>
          <w:rFonts w:ascii="Times New Roman" w:hAnsi="Times New Roman" w:cs="Times New Roman"/>
          <w:color w:val="000000"/>
          <w:szCs w:val="24"/>
        </w:rPr>
        <w:t xml:space="preserve"> del settor</w:t>
      </w:r>
      <w:r>
        <w:rPr>
          <w:rFonts w:ascii="Times New Roman" w:hAnsi="Times New Roman" w:cs="Times New Roman"/>
          <w:color w:val="000000"/>
          <w:szCs w:val="24"/>
        </w:rPr>
        <w:t>e - che possa compiere le verifiche di cui sopra con il mandato di segnalare la necessità di interventi correttivi e non solo con il compito di raccogliere e divulgare i dati, come avviene oggi grazie a ARRR Spa;</w:t>
      </w:r>
    </w:p>
    <w:p w:rsidR="000F6B18" w:rsidRDefault="000F6B18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0F6B18" w:rsidRDefault="001B0EF9">
      <w:pPr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>considerato che</w:t>
      </w:r>
    </w:p>
    <w:p w:rsidR="000F6B18" w:rsidRDefault="000F6B18">
      <w:pPr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0F6B18" w:rsidRDefault="001B0EF9">
      <w:p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lastRenderedPageBreak/>
        <w:t>autorevoli esponenti dell</w:t>
      </w:r>
      <w:r>
        <w:rPr>
          <w:rFonts w:ascii="Times New Roman" w:hAnsi="Times New Roman" w:cs="Times New Roman"/>
          <w:color w:val="000000"/>
          <w:szCs w:val="24"/>
        </w:rPr>
        <w:t>a maggioranza e rappresentanti delle imprese di servizio pubblico, evidentemente favorevoli alla filiera dell'incenerimento, hanno sostenuto in diverse sedi che la raccolta differenziata dei rifiuti farebbe aumentare i costi del servizio;</w:t>
      </w:r>
    </w:p>
    <w:p w:rsidR="000F6B18" w:rsidRDefault="000F6B18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0F6B18" w:rsidRDefault="001B0EF9">
      <w:p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l’analisi</w:t>
      </w:r>
      <w:r>
        <w:rPr>
          <w:rStyle w:val="Richiamoallanotaapidipagina"/>
          <w:rFonts w:ascii="Times New Roman" w:hAnsi="Times New Roman" w:cs="Times New Roman"/>
          <w:color w:val="000000"/>
          <w:szCs w:val="24"/>
        </w:rPr>
        <w:footnoteReference w:id="13"/>
      </w:r>
      <w:r>
        <w:rPr>
          <w:rFonts w:ascii="Times New Roman" w:hAnsi="Times New Roman" w:cs="Times New Roman"/>
          <w:color w:val="000000"/>
          <w:szCs w:val="24"/>
        </w:rPr>
        <w:t xml:space="preserve"> dei Piani finanziari dei vari Comuni elaborati dall'ISPRA nel Rapporto Rifiuti 2015 ha al contrario identificato una relazione tra il costo totale di gestione del rifiuto urbano e il tipo di trattamento a cui questo viene avviato (incenerimento, trattamen</w:t>
      </w:r>
      <w:r>
        <w:rPr>
          <w:rFonts w:ascii="Times New Roman" w:hAnsi="Times New Roman" w:cs="Times New Roman"/>
          <w:color w:val="000000"/>
          <w:szCs w:val="24"/>
        </w:rPr>
        <w:t xml:space="preserve">to meccanico-biologico, discarica e altre forme di gestione),  confermando quanto già documentato negli anni precedenti e cioè che, per tutte le classi di popolazione analizzate, </w:t>
      </w:r>
      <w:r>
        <w:rPr>
          <w:rFonts w:ascii="Times New Roman" w:hAnsi="Times New Roman" w:cs="Times New Roman"/>
          <w:bCs/>
          <w:color w:val="000000"/>
          <w:szCs w:val="24"/>
        </w:rPr>
        <w:t>all’aumentare della percentuale di raccolta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Cs w:val="24"/>
        </w:rPr>
        <w:t>differenziata diminuisce signific</w:t>
      </w:r>
      <w:r>
        <w:rPr>
          <w:rFonts w:ascii="Times New Roman" w:hAnsi="Times New Roman" w:cs="Times New Roman"/>
          <w:bCs/>
          <w:color w:val="000000"/>
          <w:szCs w:val="24"/>
        </w:rPr>
        <w:t>ativamente il costo totale pro capite annuo del Servizio</w:t>
      </w:r>
      <w:r>
        <w:rPr>
          <w:rFonts w:ascii="Times New Roman" w:hAnsi="Times New Roman" w:cs="Times New Roman"/>
          <w:color w:val="000000"/>
          <w:szCs w:val="24"/>
        </w:rPr>
        <w:t>;</w:t>
      </w:r>
    </w:p>
    <w:p w:rsidR="000F6B18" w:rsidRDefault="000F6B18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0F6B18" w:rsidRDefault="001B0EF9">
      <w:pPr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considerato altresì che</w:t>
      </w:r>
    </w:p>
    <w:p w:rsidR="000F6B18" w:rsidRDefault="000F6B18">
      <w:pPr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0F6B18" w:rsidRDefault="001B0EF9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il dimensionamento in Toscana degli attuali ATO rifiuti, eccessivamente vasto per territorio, non è funzionale né al dimensionamento degli impianti di trattamento e smaltim</w:t>
      </w:r>
      <w:r>
        <w:rPr>
          <w:rFonts w:ascii="Times New Roman" w:hAnsi="Times New Roman" w:cs="Times New Roman"/>
          <w:color w:val="000000"/>
          <w:szCs w:val="24"/>
        </w:rPr>
        <w:t>ento esistenti - le cui taglie sono già sovradimensionate per essere funzionali e rispondenti alle realtà provinciali o sub provinciali -  né alle necessità direzionali e gestionali, che richiedono flessibilità e adattamenti a territori aventi diverse esig</w:t>
      </w:r>
      <w:r>
        <w:rPr>
          <w:rFonts w:ascii="Times New Roman" w:hAnsi="Times New Roman" w:cs="Times New Roman"/>
          <w:color w:val="000000"/>
          <w:szCs w:val="24"/>
        </w:rPr>
        <w:t>enze, come dimostra la recente introduzione delle “aree omogenee”, ossia sub-divisioni dell'ATO che comprendono un numero limitato di Comuni con caratteristiche simili;</w:t>
      </w:r>
    </w:p>
    <w:p w:rsidR="000F6B18" w:rsidRDefault="000F6B18">
      <w:pPr>
        <w:spacing w:line="100" w:lineRule="atLeast"/>
        <w:jc w:val="both"/>
        <w:rPr>
          <w:rFonts w:ascii="Times New Roman" w:hAnsi="Times New Roman" w:cs="Times New Roman"/>
          <w:szCs w:val="24"/>
        </w:rPr>
      </w:pPr>
    </w:p>
    <w:p w:rsidR="000F6B18" w:rsidRDefault="001B0EF9">
      <w:pPr>
        <w:spacing w:line="100" w:lineRule="atLeast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eastAsia="Garamond" w:hAnsi="Times New Roman" w:cs="Times New Roman"/>
          <w:szCs w:val="24"/>
        </w:rPr>
        <w:t>la</w:t>
      </w:r>
      <w:r>
        <w:rPr>
          <w:rFonts w:ascii="Times New Roman" w:eastAsia="Trebuchet MS" w:hAnsi="Times New Roman" w:cs="Times New Roman"/>
          <w:szCs w:val="24"/>
        </w:rPr>
        <w:t xml:space="preserve"> stessa “</w:t>
      </w:r>
      <w:r>
        <w:rPr>
          <w:rFonts w:ascii="Times New Roman" w:eastAsia="Trebuchet MS" w:hAnsi="Times New Roman" w:cs="Times New Roman"/>
          <w:i/>
          <w:iCs/>
          <w:szCs w:val="24"/>
        </w:rPr>
        <w:t xml:space="preserve">Indagine conoscitiva sui rifiuti solidi urbani” </w:t>
      </w:r>
      <w:r>
        <w:rPr>
          <w:rFonts w:ascii="Times New Roman" w:eastAsia="Trebuchet MS" w:hAnsi="Times New Roman" w:cs="Times New Roman"/>
          <w:szCs w:val="24"/>
        </w:rPr>
        <w:t>dell'Autorità Garante sulla</w:t>
      </w:r>
      <w:r>
        <w:rPr>
          <w:rFonts w:ascii="Times New Roman" w:eastAsia="Trebuchet MS" w:hAnsi="Times New Roman" w:cs="Times New Roman"/>
          <w:szCs w:val="24"/>
        </w:rPr>
        <w:t xml:space="preserve"> Concorrenza ed il Mercato indica la</w:t>
      </w:r>
      <w:r>
        <w:rPr>
          <w:rFonts w:ascii="Times New Roman" w:eastAsia="Garamond" w:hAnsi="Times New Roman" w:cs="Times New Roman"/>
          <w:szCs w:val="24"/>
        </w:rPr>
        <w:t xml:space="preserve"> dimensione ottimale del bacino di affidamento del servizio </w:t>
      </w:r>
      <w:r>
        <w:rPr>
          <w:rFonts w:ascii="Times New Roman" w:eastAsia="Trebuchet MS" w:hAnsi="Times New Roman" w:cs="Times New Roman"/>
          <w:szCs w:val="24"/>
        </w:rPr>
        <w:t xml:space="preserve">per lo </w:t>
      </w:r>
      <w:r>
        <w:rPr>
          <w:rFonts w:ascii="Times New Roman" w:eastAsia="Garamond" w:hAnsi="Times New Roman" w:cs="Times New Roman"/>
          <w:szCs w:val="24"/>
        </w:rPr>
        <w:t>spazzamento e la raccolta come inferiore a quella di una singola  provincia. Infatti nella suddetta indagine vi si legge</w:t>
      </w:r>
      <w:r>
        <w:rPr>
          <w:rStyle w:val="Richiamoallanotaapidipagina"/>
          <w:rFonts w:ascii="Times New Roman" w:eastAsia="Garamond" w:hAnsi="Times New Roman" w:cs="Times New Roman"/>
          <w:szCs w:val="24"/>
        </w:rPr>
        <w:footnoteReference w:id="14"/>
      </w:r>
      <w:r>
        <w:rPr>
          <w:rFonts w:ascii="Times New Roman" w:eastAsia="Garamond" w:hAnsi="Times New Roman" w:cs="Times New Roman"/>
          <w:szCs w:val="24"/>
        </w:rPr>
        <w:t xml:space="preserve"> che: </w:t>
      </w:r>
      <w:r>
        <w:rPr>
          <w:rFonts w:ascii="Times New Roman" w:eastAsia="Garamond" w:hAnsi="Times New Roman" w:cs="Times New Roman"/>
          <w:i/>
          <w:iCs/>
          <w:szCs w:val="24"/>
        </w:rPr>
        <w:t>“Assume, pertanto</w:t>
      </w:r>
      <w:r>
        <w:rPr>
          <w:rFonts w:ascii="Times New Roman" w:hAnsi="Times New Roman" w:cs="Times New Roman"/>
          <w:i/>
          <w:iCs/>
          <w:szCs w:val="24"/>
        </w:rPr>
        <w:t>, un ruol</w:t>
      </w:r>
      <w:r>
        <w:rPr>
          <w:rFonts w:ascii="Times New Roman" w:hAnsi="Times New Roman" w:cs="Times New Roman"/>
          <w:i/>
          <w:iCs/>
          <w:szCs w:val="24"/>
        </w:rPr>
        <w:t xml:space="preserve">o cruciale il tema dell’individuazione della dimensione ottimale del bacino di affidamento del servizio affinché si garantisca una gestione efficiente dello stesso. </w:t>
      </w:r>
      <w:r>
        <w:rPr>
          <w:rFonts w:ascii="Times New Roman" w:eastAsia="Garamond" w:hAnsi="Times New Roman" w:cs="Times New Roman"/>
          <w:i/>
          <w:iCs/>
          <w:szCs w:val="24"/>
        </w:rPr>
        <w:t>Gli studi a disposizione suggeriscono, in effetti, che la soglia massima nella gestione del</w:t>
      </w:r>
      <w:r>
        <w:rPr>
          <w:rFonts w:ascii="Times New Roman" w:eastAsia="Garamond" w:hAnsi="Times New Roman" w:cs="Times New Roman"/>
          <w:i/>
          <w:iCs/>
          <w:szCs w:val="24"/>
        </w:rPr>
        <w:t xml:space="preserve"> servizio si aggira attorno alle 80-90.000 tonnellate di rifiuti mentre, in termini di popolazione servita, essa varierebbe in un range molto ampio, compreso tra i 30.000 e 100.000 abitanti”;</w:t>
      </w:r>
    </w:p>
    <w:p w:rsidR="000F6B18" w:rsidRDefault="000F6B18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0F6B18" w:rsidRDefault="001B0EF9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le Assemblee degli ATO rimangono ingestibili, perché centinaia </w:t>
      </w:r>
      <w:r>
        <w:rPr>
          <w:rFonts w:ascii="Times New Roman" w:hAnsi="Times New Roman" w:cs="Times New Roman"/>
          <w:color w:val="000000"/>
          <w:szCs w:val="24"/>
        </w:rPr>
        <w:t>di sindaci, per lo più con quote  percentuali pari a qualche decimale, dovrebbero poter prendere decisioni che riguardano i loro territori, di cui mantengono la responsabilità politica, ma di fatto non hanno possibilità concreta di incidere;</w:t>
      </w:r>
    </w:p>
    <w:p w:rsidR="000F6B18" w:rsidRDefault="000F6B18">
      <w:pPr>
        <w:jc w:val="both"/>
        <w:rPr>
          <w:rFonts w:ascii="Times New Roman" w:hAnsi="Times New Roman" w:cs="Times New Roman"/>
          <w:szCs w:val="24"/>
        </w:rPr>
      </w:pPr>
    </w:p>
    <w:p w:rsidR="000F6B18" w:rsidRDefault="001B0EF9">
      <w:p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dopo le prime</w:t>
      </w:r>
      <w:r>
        <w:rPr>
          <w:rFonts w:ascii="Times New Roman" w:hAnsi="Times New Roman" w:cs="Times New Roman"/>
          <w:color w:val="000000"/>
          <w:szCs w:val="24"/>
        </w:rPr>
        <w:t xml:space="preserve"> esperienze negative nelle Assemblee degli ATO, la maggioranza dei Sindaci di fatto non partecipa ai lavori assembleari a causa dell'irrazionale criterio di ripartizione delle stesse quote decisionali, facendo registrare una scarsissima presenza numerica, </w:t>
      </w:r>
      <w:r>
        <w:rPr>
          <w:rFonts w:ascii="Times New Roman" w:hAnsi="Times New Roman" w:cs="Times New Roman"/>
          <w:color w:val="000000"/>
          <w:szCs w:val="24"/>
        </w:rPr>
        <w:t>mentre è necessario riportare le scelte del settore nei Consigli comunali, oggi completamente  espropriati;</w:t>
      </w:r>
    </w:p>
    <w:p w:rsidR="000F6B18" w:rsidRDefault="000F6B18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0F6B18" w:rsidRDefault="001B0EF9">
      <w:p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il dimensionamento degli attuali ATO non risponde in nessun caso neppure ai criteri di dimensionamento delle imprese private che svolgono servizi a</w:t>
      </w:r>
      <w:r>
        <w:rPr>
          <w:rFonts w:ascii="Times New Roman" w:hAnsi="Times New Roman" w:cs="Times New Roman"/>
          <w:color w:val="000000"/>
          <w:szCs w:val="24"/>
        </w:rPr>
        <w:t>lle famiglie, le quali, come la letteratura tecnica insegna, tendono a far coincidere l'organizzazione dell'offerta di tali servizi alla dimensione e distribuzione della domanda, per lo più concentrata nei capoluoghi di provincia, sede anche di tutti gli U</w:t>
      </w:r>
      <w:r>
        <w:rPr>
          <w:rFonts w:ascii="Times New Roman" w:hAnsi="Times New Roman" w:cs="Times New Roman"/>
          <w:color w:val="000000"/>
          <w:szCs w:val="24"/>
        </w:rPr>
        <w:t>ffici pubblici amministrativi, per cui si deve dedurre che la scelta di costituire ATO territorialmente così vasti sia stata di natura esclusivamente politica, ma poco efficiente;</w:t>
      </w:r>
    </w:p>
    <w:p w:rsidR="000F6B18" w:rsidRDefault="000F6B18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0F6B18" w:rsidRDefault="001B0EF9">
      <w:p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la ripartizione delle suddette quote non avviene secondo criteri solidarist</w:t>
      </w:r>
      <w:r>
        <w:rPr>
          <w:rFonts w:ascii="Times New Roman" w:hAnsi="Times New Roman" w:cs="Times New Roman"/>
          <w:color w:val="000000"/>
          <w:szCs w:val="24"/>
        </w:rPr>
        <w:t xml:space="preserve">ici, tipici della cooperazione, ma secondo criteri mercantili, assicurando </w:t>
      </w:r>
      <w:r>
        <w:rPr>
          <w:rFonts w:ascii="Times New Roman" w:hAnsi="Times New Roman" w:cs="Times New Roman"/>
          <w:i/>
          <w:iCs/>
          <w:color w:val="000000"/>
          <w:szCs w:val="24"/>
        </w:rPr>
        <w:t>de facto</w:t>
      </w:r>
      <w:r>
        <w:rPr>
          <w:rFonts w:ascii="Times New Roman" w:hAnsi="Times New Roman" w:cs="Times New Roman"/>
          <w:color w:val="000000"/>
          <w:szCs w:val="24"/>
        </w:rPr>
        <w:t xml:space="preserve"> la maggioranza nelle Assemblee degli ATO ai Sindaci dei comuni sede di impianti di smaltimento, ossia di inceneritori, discariche o di trattamento del combustibile; tali Si</w:t>
      </w:r>
      <w:r>
        <w:rPr>
          <w:rFonts w:ascii="Times New Roman" w:hAnsi="Times New Roman" w:cs="Times New Roman"/>
          <w:color w:val="000000"/>
          <w:szCs w:val="24"/>
        </w:rPr>
        <w:t>ndaci, ricevendo dagli altri Comuni un' indennità per tale funzione, hanno evidentemente uno scarso interesse a ridurre i conferimenti di Indifferenziato, mantenendo la scelta dell'incenerimento;</w:t>
      </w:r>
    </w:p>
    <w:p w:rsidR="000F6B18" w:rsidRDefault="000F6B18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0F6B18" w:rsidRDefault="001B0EF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Cs w:val="24"/>
        </w:rPr>
        <w:t>non è condivisibile la scelta di affidare le gestione dei S</w:t>
      </w:r>
      <w:r>
        <w:rPr>
          <w:rFonts w:ascii="Times New Roman" w:hAnsi="Times New Roman" w:cs="Times New Roman"/>
          <w:color w:val="000000"/>
          <w:szCs w:val="24"/>
        </w:rPr>
        <w:t>ervizi pubblici a soggetti privati, il cui interesse non coincide quasi mai con l’interesse pubblico, specie per le attività di pubblici servizi quali l'acqua, l'energia, i rifiuti, i trasporti, che non sono mai collocati in un mercato di ampia concorrenza</w:t>
      </w:r>
      <w:r>
        <w:rPr>
          <w:rFonts w:ascii="Times New Roman" w:hAnsi="Times New Roman" w:cs="Times New Roman"/>
          <w:color w:val="000000"/>
          <w:szCs w:val="24"/>
        </w:rPr>
        <w:t>, capace di generare utilità pubbliche perché:</w:t>
      </w:r>
    </w:p>
    <w:p w:rsidR="000F6B18" w:rsidRDefault="001B0EF9">
      <w:pPr>
        <w:pStyle w:val="TitoloecontenutoLTGliederung1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le reti di distribuzione o gli impianti necessari sono unici e i gestori storici sono unici;</w:t>
      </w:r>
    </w:p>
    <w:p w:rsidR="000F6B18" w:rsidRDefault="001B0EF9">
      <w:pPr>
        <w:pStyle w:val="TitoloecontenutoLTGliederung1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il gestore si appropria normalmente del</w:t>
      </w:r>
      <w:r>
        <w:rPr>
          <w:rFonts w:ascii="Times New Roman" w:hAnsi="Times New Roman" w:cs="Times New Roman"/>
          <w:i/>
          <w:color w:val="000000"/>
          <w:sz w:val="24"/>
        </w:rPr>
        <w:t xml:space="preserve"> «know how» </w:t>
      </w: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e </w:t>
      </w:r>
      <w:r>
        <w:rPr>
          <w:rFonts w:ascii="Times New Roman" w:hAnsi="Times New Roman" w:cs="Times New Roman"/>
          <w:color w:val="000000"/>
          <w:sz w:val="24"/>
        </w:rPr>
        <w:t>il complesso di conoscenze tecniche diviene di conseguenza escl</w:t>
      </w:r>
      <w:r>
        <w:rPr>
          <w:rFonts w:ascii="Times New Roman" w:hAnsi="Times New Roman" w:cs="Times New Roman"/>
          <w:color w:val="000000"/>
          <w:sz w:val="24"/>
        </w:rPr>
        <w:t>usivo, generando un “monopolio tecnico” e asimmetrie informative che impediscono un efficace controllo;</w:t>
      </w:r>
    </w:p>
    <w:p w:rsidR="000F6B18" w:rsidRDefault="001B0EF9">
      <w:pPr>
        <w:pStyle w:val="TitoloecontenutoLTGliederung2"/>
        <w:numPr>
          <w:ilvl w:val="0"/>
          <w:numId w:val="3"/>
        </w:numPr>
        <w:tabs>
          <w:tab w:val="left" w:pos="0"/>
        </w:tabs>
        <w:spacing w:before="88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se ci sono due o pochi concorrenti, è pratica costante l’accordo oligopolistico;</w:t>
      </w:r>
    </w:p>
    <w:p w:rsidR="000F6B18" w:rsidRDefault="001B0EF9">
      <w:pPr>
        <w:pStyle w:val="TitoloecontenutoLTGliederung2"/>
        <w:numPr>
          <w:ilvl w:val="0"/>
          <w:numId w:val="3"/>
        </w:numPr>
        <w:tabs>
          <w:tab w:val="left" w:pos="0"/>
        </w:tabs>
        <w:spacing w:before="8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con le gare di appalto vengono normalmente favorite le aziende «amiche»</w:t>
      </w:r>
      <w:r>
        <w:rPr>
          <w:rFonts w:ascii="Times New Roman" w:hAnsi="Times New Roman" w:cs="Times New Roman"/>
          <w:color w:val="000000"/>
          <w:sz w:val="24"/>
        </w:rPr>
        <w:t xml:space="preserve"> del decisore politico, come di fatto è accaduto;</w:t>
      </w:r>
    </w:p>
    <w:p w:rsidR="000F6B18" w:rsidRDefault="001B0EF9">
      <w:pPr>
        <w:pStyle w:val="TitoloecontenutoLTGliederung2"/>
        <w:numPr>
          <w:ilvl w:val="0"/>
          <w:numId w:val="3"/>
        </w:numPr>
        <w:tabs>
          <w:tab w:val="left" w:pos="0"/>
        </w:tabs>
        <w:spacing w:before="88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i prezzi dei servizi gestiti dai privati crescono molto più dell’inflazione;</w:t>
      </w:r>
    </w:p>
    <w:p w:rsidR="000F6B18" w:rsidRDefault="000F6B18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0F6B18" w:rsidRDefault="001B0EF9">
      <w:p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stante ad oggi il quadro normativo che ha prodotto la scelta di affidare i servizi a gestori privati, è necessario un controllo</w:t>
      </w:r>
      <w:r>
        <w:rPr>
          <w:rFonts w:ascii="Times New Roman" w:hAnsi="Times New Roman" w:cs="Times New Roman"/>
          <w:color w:val="000000"/>
          <w:szCs w:val="24"/>
        </w:rPr>
        <w:t xml:space="preserve"> pubblico più attento e competente;</w:t>
      </w:r>
    </w:p>
    <w:p w:rsidR="000F6B18" w:rsidRDefault="000F6B18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0F6B18" w:rsidRDefault="001B0E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considerata</w:t>
      </w:r>
      <w:r>
        <w:rPr>
          <w:rFonts w:ascii="Times New Roman" w:hAnsi="Times New Roman" w:cs="Times New Roman"/>
          <w:color w:val="000000"/>
          <w:szCs w:val="24"/>
        </w:rPr>
        <w:t xml:space="preserve"> infine la contrarietà dei territori all’ipotesi di ATO unico regionale per la gestione dei rifiuti espressa di recente anche dalle </w:t>
      </w:r>
      <w:r>
        <w:rPr>
          <w:rFonts w:ascii="Times New Roman" w:hAnsi="Times New Roman" w:cs="Times New Roman"/>
        </w:rPr>
        <w:t>segretarie del Pd dei quattro territori compresi nell’Ato Sud (Grosseto, Sie</w:t>
      </w:r>
      <w:r>
        <w:rPr>
          <w:rFonts w:ascii="Times New Roman" w:hAnsi="Times New Roman" w:cs="Times New Roman"/>
        </w:rPr>
        <w:t>na, Arezzo e Val di Cornia), oltre che dalle Associazioni ambientaliste, tra le quali Legambiente;</w:t>
      </w:r>
    </w:p>
    <w:p w:rsidR="000F6B18" w:rsidRDefault="000F6B18">
      <w:pPr>
        <w:jc w:val="both"/>
        <w:rPr>
          <w:rFonts w:ascii="Times New Roman" w:hAnsi="Times New Roman" w:cs="Times New Roman"/>
        </w:rPr>
      </w:pPr>
    </w:p>
    <w:p w:rsidR="000F6B18" w:rsidRDefault="001B0EF9">
      <w:p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</w:rPr>
        <w:t>l’annunciata intenzione della Giunta regionale di istituire una specifica Commissione di Inchiesta finalizzata a verificare se dal punto di vista tariffario</w:t>
      </w:r>
      <w:r>
        <w:rPr>
          <w:rFonts w:ascii="Times New Roman" w:hAnsi="Times New Roman" w:cs="Times New Roman"/>
        </w:rPr>
        <w:t xml:space="preserve"> vi siano stati aumenti ingiustificati delle tariffe in ATO Sud;</w:t>
      </w:r>
    </w:p>
    <w:p w:rsidR="000F6B18" w:rsidRDefault="000F6B18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0F6B18" w:rsidRDefault="001B0EF9">
      <w:pPr>
        <w:jc w:val="center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impegna la Giunta</w:t>
      </w:r>
    </w:p>
    <w:p w:rsidR="000F6B18" w:rsidRDefault="000F6B18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0F6B18" w:rsidRDefault="001B0EF9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a prevedere la costituzione di Osservatori rifiuti indipendenti in ciascun ATO, per verificare</w:t>
      </w:r>
      <w:r>
        <w:rPr>
          <w:rFonts w:ascii="Times New Roman" w:hAnsi="Times New Roman" w:cs="Times New Roman"/>
          <w:szCs w:val="24"/>
        </w:rPr>
        <w:t xml:space="preserve"> la capacità di raggiungere gli obiettivi prefissati, </w:t>
      </w:r>
      <w:r>
        <w:rPr>
          <w:rFonts w:ascii="Times New Roman" w:hAnsi="Times New Roman" w:cs="Times New Roman"/>
          <w:color w:val="000000"/>
          <w:szCs w:val="24"/>
        </w:rPr>
        <w:t xml:space="preserve">che prevedano anche la </w:t>
      </w:r>
      <w:r>
        <w:rPr>
          <w:rFonts w:ascii="Times New Roman" w:hAnsi="Times New Roman" w:cs="Times New Roman"/>
          <w:color w:val="000000"/>
          <w:szCs w:val="24"/>
        </w:rPr>
        <w:t>partecipazione delle espressioni dirette dei cittadini;</w:t>
      </w:r>
    </w:p>
    <w:p w:rsidR="000F6B18" w:rsidRDefault="000F6B18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0F6B18" w:rsidRDefault="001B0EF9">
      <w:p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a prevedere in qualità di membri della Commissione di inchiesta su ATO Sud anche componenti della IV Commissione T</w:t>
      </w:r>
      <w:r>
        <w:rPr>
          <w:rFonts w:ascii="Times New Roman" w:hAnsi="Times New Roman" w:cs="Times New Roman"/>
        </w:rPr>
        <w:t xml:space="preserve">erritorio, ambiente, mobilità, infrastrutture del Consiglio regionale, a garanzia di </w:t>
      </w:r>
      <w:r>
        <w:rPr>
          <w:rFonts w:ascii="Times New Roman" w:hAnsi="Times New Roman" w:cs="Times New Roman"/>
        </w:rPr>
        <w:t>maggiore imparzialità e rappresentanza anche delle forze politiche di opposizione;</w:t>
      </w:r>
    </w:p>
    <w:p w:rsidR="000F6B18" w:rsidRDefault="000F6B18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0F6B18" w:rsidRDefault="001B0EF9">
      <w:p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a prevedere un diverso dimensionamento degli ATO, ridimensionandoli e riportandoli a territori omogenei in termini di tipologia di raccolta e di impianti utilizzati al fine</w:t>
      </w:r>
      <w:r>
        <w:rPr>
          <w:rFonts w:ascii="Times New Roman" w:hAnsi="Times New Roman" w:cs="Times New Roman"/>
          <w:color w:val="000000"/>
          <w:szCs w:val="24"/>
        </w:rPr>
        <w:t xml:space="preserve"> di</w:t>
      </w:r>
      <w:r>
        <w:rPr>
          <w:rFonts w:ascii="Times New Roman" w:hAnsi="Times New Roman" w:cs="Times New Roman"/>
          <w:szCs w:val="24"/>
        </w:rPr>
        <w:t xml:space="preserve"> realizzare una gestione più efficace e impiegare in maniera economica le risorse a propria disposizione;</w:t>
      </w:r>
    </w:p>
    <w:p w:rsidR="000F6B18" w:rsidRDefault="000F6B18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0F6B18" w:rsidRDefault="001B0EF9">
      <w:p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a prevedere una diversa ripartizione dei voti nelle Assemblee degli ATO tra i vari Sindaci che ne fanno parte, in modo che avvenga secondo criteri</w:t>
      </w:r>
      <w:r>
        <w:rPr>
          <w:rFonts w:ascii="Times New Roman" w:hAnsi="Times New Roman" w:cs="Times New Roman"/>
          <w:color w:val="000000"/>
          <w:szCs w:val="24"/>
        </w:rPr>
        <w:t xml:space="preserve"> di solidarietà e non secondo criteri mercantili e consumistici, prevedendo a cascata anche il coinvolgimento dei Consigli comunali;</w:t>
      </w:r>
    </w:p>
    <w:p w:rsidR="000F6B18" w:rsidRDefault="000F6B18">
      <w:pPr>
        <w:jc w:val="both"/>
        <w:rPr>
          <w:rFonts w:ascii="Times New Roman" w:hAnsi="Times New Roman" w:cs="Times New Roman"/>
          <w:szCs w:val="24"/>
        </w:rPr>
      </w:pPr>
    </w:p>
    <w:p w:rsidR="000F6B18" w:rsidRDefault="001B0EF9">
      <w:p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ad invertire la scelta dell'incenerimento a favore della capillare diffusione della raccolta differenziata domiciliare;</w:t>
      </w:r>
    </w:p>
    <w:p w:rsidR="000F6B18" w:rsidRDefault="001B0EF9">
      <w:p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0F6B18" w:rsidRDefault="001B0EF9">
      <w:p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a favorire il ritorno ad una gestione pubblica del Servizio e la crescita sui territori di una media imprenditoria competente per il recupero delle materie prime seconde, che può assicurare la crescita di occupazione locale non delocalizzabile, come dimost</w:t>
      </w:r>
      <w:r>
        <w:rPr>
          <w:rFonts w:ascii="Times New Roman" w:hAnsi="Times New Roman" w:cs="Times New Roman"/>
          <w:color w:val="000000"/>
          <w:szCs w:val="24"/>
        </w:rPr>
        <w:t>ra l'esempio virtuoso di altre Regioni italiane.</w:t>
      </w:r>
    </w:p>
    <w:p w:rsidR="000F6B18" w:rsidRDefault="000F6B18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0F6B18" w:rsidRDefault="001B0EF9">
      <w:pPr>
        <w:pStyle w:val="Didascalia1"/>
        <w:spacing w:after="0"/>
        <w:rPr>
          <w:b/>
        </w:rPr>
      </w:pPr>
      <w:r>
        <w:t>I Consiglieri</w:t>
      </w:r>
    </w:p>
    <w:p w:rsidR="000F6B18" w:rsidRDefault="000F6B18">
      <w:pPr>
        <w:pStyle w:val="Didascalia1"/>
        <w:spacing w:after="0"/>
        <w:rPr>
          <w:b/>
        </w:rPr>
      </w:pPr>
    </w:p>
    <w:p w:rsidR="000F6B18" w:rsidRDefault="001B0EF9">
      <w:pPr>
        <w:pStyle w:val="Didascalia1"/>
        <w:spacing w:after="0"/>
      </w:pPr>
      <w:r>
        <w:rPr>
          <w:b/>
        </w:rPr>
        <w:t>Tommaso Fattori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Paolo Sarti</w:t>
      </w:r>
    </w:p>
    <w:p w:rsidR="000F6B18" w:rsidRDefault="000F6B18">
      <w:pPr>
        <w:pStyle w:val="Didascalia1"/>
        <w:spacing w:after="0"/>
      </w:pPr>
    </w:p>
    <w:sectPr w:rsidR="000F6B18">
      <w:headerReference w:type="default" r:id="rId8"/>
      <w:headerReference w:type="first" r:id="rId9"/>
      <w:pgSz w:w="11906" w:h="16838"/>
      <w:pgMar w:top="993" w:right="1134" w:bottom="993" w:left="1134" w:header="907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EF9" w:rsidRDefault="001B0EF9">
      <w:r>
        <w:separator/>
      </w:r>
    </w:p>
  </w:endnote>
  <w:endnote w:type="continuationSeparator" w:id="0">
    <w:p w:rsidR="001B0EF9" w:rsidRDefault="001B0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LT Std 47 Cn Lt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Oswald">
    <w:altName w:val="Times New Roman"/>
    <w:charset w:val="01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EF9" w:rsidRDefault="001B0EF9">
      <w:r>
        <w:separator/>
      </w:r>
    </w:p>
  </w:footnote>
  <w:footnote w:type="continuationSeparator" w:id="0">
    <w:p w:rsidR="001B0EF9" w:rsidRDefault="001B0EF9">
      <w:r>
        <w:continuationSeparator/>
      </w:r>
    </w:p>
  </w:footnote>
  <w:footnote w:id="1">
    <w:p w:rsidR="000F6B18" w:rsidRDefault="001B0EF9">
      <w:pPr>
        <w:jc w:val="both"/>
      </w:pPr>
      <w:r>
        <w:rPr>
          <w:rStyle w:val="FootnoteCharacters"/>
          <w:rFonts w:ascii="Times New Roman" w:hAnsi="Times New Roman"/>
        </w:rPr>
        <w:footnoteRef/>
      </w:r>
      <w:r>
        <w:rPr>
          <w:rStyle w:val="FootnoteCharacters"/>
          <w:rFonts w:ascii="Times New Roman" w:hAnsi="Times New Roman"/>
        </w:rPr>
        <w:tab/>
      </w:r>
      <w:r>
        <w:rPr>
          <w:rFonts w:ascii="Times New Roman" w:hAnsi="Times New Roman" w:cs="Times New Roman"/>
          <w:sz w:val="20"/>
        </w:rPr>
        <w:t xml:space="preserve">     previsto </w:t>
      </w:r>
      <w:r>
        <w:rPr>
          <w:rFonts w:ascii="Times New Roman" w:hAnsi="Times New Roman" w:cs="Times New Roman"/>
          <w:sz w:val="20"/>
        </w:rPr>
        <w:t>dall'art.189 del D.Lgs. n. 152/2006</w:t>
      </w:r>
    </w:p>
  </w:footnote>
  <w:footnote w:id="2">
    <w:p w:rsidR="000F6B18" w:rsidRDefault="001B0EF9">
      <w:pPr>
        <w:pStyle w:val="Testonotaapidipagina"/>
      </w:pPr>
      <w:r>
        <w:rPr>
          <w:rStyle w:val="FootnoteCharacters"/>
          <w:rFonts w:ascii="Times New Roman" w:hAnsi="Times New Roman"/>
        </w:rPr>
        <w:footnoteRef/>
      </w:r>
      <w:r>
        <w:rPr>
          <w:rStyle w:val="FootnoteCharacters"/>
          <w:rFonts w:ascii="Times New Roman" w:hAnsi="Times New Roman"/>
        </w:rPr>
        <w:tab/>
      </w:r>
      <w:r>
        <w:t>http://www.isprambiente.gov.it/files/pubblicazioni/rapporti/rifiuti-urbani-2015/RapportoRifiutiUrbani_Ed.2015n.230_Vers.Integrale_agg22_12_2015.pdf</w:t>
      </w:r>
    </w:p>
  </w:footnote>
  <w:footnote w:id="3">
    <w:p w:rsidR="000F6B18" w:rsidRDefault="001B0EF9">
      <w:pPr>
        <w:pStyle w:val="Testonotaapidipagina"/>
      </w:pPr>
      <w:r>
        <w:rPr>
          <w:rStyle w:val="FootnoteCharacters"/>
          <w:rFonts w:ascii="Times New Roman" w:hAnsi="Times New Roman"/>
        </w:rPr>
        <w:footnoteRef/>
      </w:r>
      <w:r>
        <w:rPr>
          <w:rStyle w:val="FootnoteCharacters"/>
          <w:rFonts w:ascii="Times New Roman" w:hAnsi="Times New Roman"/>
        </w:rPr>
        <w:tab/>
      </w:r>
      <w:r>
        <w:t>Nel suddetto rapporto, figura 2.13 di pagina 45.</w:t>
      </w:r>
    </w:p>
  </w:footnote>
  <w:footnote w:id="4">
    <w:p w:rsidR="000F6B18" w:rsidRDefault="001B0EF9">
      <w:r>
        <w:rPr>
          <w:rStyle w:val="FootnoteCharacters"/>
          <w:rFonts w:ascii="Times New Roman" w:hAnsi="Times New Roman"/>
        </w:rPr>
        <w:footnoteRef/>
      </w:r>
      <w:r>
        <w:rPr>
          <w:rStyle w:val="FootnoteCharacters"/>
          <w:rFonts w:ascii="Times New Roman" w:hAnsi="Times New Roman"/>
        </w:rPr>
        <w:tab/>
      </w:r>
      <w:r>
        <w:rPr>
          <w:sz w:val="20"/>
        </w:rPr>
        <w:t xml:space="preserve">     Nel suddetto</w:t>
      </w:r>
      <w:r>
        <w:rPr>
          <w:sz w:val="20"/>
        </w:rPr>
        <w:t xml:space="preserve"> rapporto, tabella 2.13 pagina 49.</w:t>
      </w:r>
    </w:p>
  </w:footnote>
  <w:footnote w:id="5">
    <w:p w:rsidR="000F6B18" w:rsidRDefault="001B0EF9">
      <w:pPr>
        <w:pStyle w:val="Testonotaapidipagina"/>
      </w:pPr>
      <w:r>
        <w:rPr>
          <w:rStyle w:val="FootnoteCharacters"/>
          <w:rFonts w:ascii="Times New Roman" w:hAnsi="Times New Roman"/>
        </w:rPr>
        <w:footnoteRef/>
      </w:r>
      <w:r>
        <w:rPr>
          <w:rStyle w:val="FootnoteCharacters"/>
          <w:rFonts w:ascii="Times New Roman" w:hAnsi="Times New Roman"/>
        </w:rPr>
        <w:tab/>
      </w:r>
      <w:r>
        <w:t>Nel suddetto rapporto, tabella 6.5. pagina  203 e seguenti.</w:t>
      </w:r>
    </w:p>
  </w:footnote>
  <w:footnote w:id="6">
    <w:p w:rsidR="000F6B18" w:rsidRDefault="001B0EF9">
      <w:pPr>
        <w:pStyle w:val="Testonotaapidipagina"/>
      </w:pPr>
      <w:r>
        <w:rPr>
          <w:rStyle w:val="FootnoteCharacters"/>
          <w:rFonts w:ascii="Times New Roman" w:hAnsi="Times New Roman"/>
        </w:rPr>
        <w:footnoteRef/>
      </w:r>
      <w:r>
        <w:rPr>
          <w:rStyle w:val="FootnoteCharacters"/>
          <w:rFonts w:ascii="Times New Roman" w:hAnsi="Times New Roman"/>
        </w:rPr>
        <w:tab/>
      </w:r>
      <w:r>
        <w:t>Nel suddetto rapporto, figura 2.18 pagina 50.</w:t>
      </w:r>
    </w:p>
  </w:footnote>
  <w:footnote w:id="7">
    <w:p w:rsidR="000F6B18" w:rsidRDefault="001B0EF9">
      <w:pPr>
        <w:pStyle w:val="Testonotaapidipagina"/>
      </w:pPr>
      <w:r>
        <w:rPr>
          <w:rStyle w:val="FootnoteCharacters"/>
          <w:rFonts w:ascii="Times New Roman" w:hAnsi="Times New Roman"/>
        </w:rPr>
        <w:footnoteRef/>
      </w:r>
      <w:r>
        <w:rPr>
          <w:rStyle w:val="FootnoteCharacters"/>
          <w:rFonts w:ascii="Times New Roman" w:hAnsi="Times New Roman"/>
        </w:rPr>
        <w:tab/>
      </w:r>
      <w:r>
        <w:t>Nel suddetto rapporto, tabella 2.16, pagine 55-57</w:t>
      </w:r>
    </w:p>
  </w:footnote>
  <w:footnote w:id="8">
    <w:p w:rsidR="000F6B18" w:rsidRDefault="001B0EF9">
      <w:pPr>
        <w:pStyle w:val="Testonotaapidipagina"/>
      </w:pPr>
      <w:r>
        <w:rPr>
          <w:rStyle w:val="FootnoteCharacters"/>
          <w:rFonts w:ascii="Times New Roman" w:hAnsi="Times New Roman"/>
        </w:rPr>
        <w:footnoteRef/>
      </w:r>
      <w:r>
        <w:rPr>
          <w:rStyle w:val="FootnoteCharacters"/>
          <w:rFonts w:ascii="Times New Roman" w:hAnsi="Times New Roman"/>
        </w:rPr>
        <w:tab/>
      </w:r>
      <w:r>
        <w:t>Nel suddetto rapporto, pagine 227-229</w:t>
      </w:r>
    </w:p>
  </w:footnote>
  <w:footnote w:id="9">
    <w:p w:rsidR="000F6B18" w:rsidRDefault="001B0EF9">
      <w:pPr>
        <w:pStyle w:val="Testonotaapidipagina"/>
      </w:pPr>
      <w:r>
        <w:rPr>
          <w:rStyle w:val="FootnoteCharacters"/>
          <w:rFonts w:ascii="Times New Roman" w:hAnsi="Times New Roman"/>
        </w:rPr>
        <w:footnoteRef/>
      </w:r>
      <w:r>
        <w:rPr>
          <w:rStyle w:val="FootnoteCharacters"/>
          <w:rFonts w:ascii="Times New Roman" w:hAnsi="Times New Roman"/>
        </w:rPr>
        <w:tab/>
      </w:r>
      <w:r>
        <w:t xml:space="preserve"> Vedi:http://www.</w:t>
      </w:r>
      <w:r>
        <w:t>cittadinanzattiva.it/comunicati/consumatori/8399-rifiuti-sempre-piu-cari-provincia-per-provincia-i-dati-del-nostro-osservatorio-prezzi-e-tariffe.html</w:t>
      </w:r>
    </w:p>
  </w:footnote>
  <w:footnote w:id="10">
    <w:p w:rsidR="000F6B18" w:rsidRDefault="001B0EF9">
      <w:pPr>
        <w:pStyle w:val="Testonotaapidipagina"/>
      </w:pPr>
      <w:r>
        <w:rPr>
          <w:rStyle w:val="FootnoteCharacters"/>
          <w:rFonts w:ascii="Times New Roman" w:hAnsi="Times New Roman"/>
        </w:rPr>
        <w:footnoteRef/>
      </w:r>
      <w:r>
        <w:rPr>
          <w:rStyle w:val="FootnoteCharacters"/>
          <w:rFonts w:ascii="Times New Roman" w:hAnsi="Times New Roman"/>
        </w:rPr>
        <w:tab/>
      </w:r>
      <w:r>
        <w:t>Vedi Convenzione tra ATO9 e Unieco, registrata a Grosseto il 2.5.2005 per la costruzione dell'impianto d</w:t>
      </w:r>
      <w:r>
        <w:t>elle Strillaie (Gr).</w:t>
      </w:r>
    </w:p>
  </w:footnote>
  <w:footnote w:id="11">
    <w:p w:rsidR="000F6B18" w:rsidRDefault="001B0EF9">
      <w:pPr>
        <w:jc w:val="both"/>
      </w:pPr>
      <w:r>
        <w:rPr>
          <w:rStyle w:val="FootnoteCharacters"/>
          <w:rFonts w:ascii="Times New Roman" w:hAnsi="Times New Roman"/>
        </w:rPr>
        <w:footnoteRef/>
      </w:r>
      <w:r>
        <w:rPr>
          <w:rStyle w:val="FootnoteCharacters"/>
          <w:rFonts w:ascii="Times New Roman" w:hAnsi="Times New Roman"/>
        </w:rPr>
        <w:tab/>
      </w:r>
      <w:r>
        <w:rPr>
          <w:rFonts w:ascii="Times New Roman" w:hAnsi="Times New Roman" w:cs="Times New Roman"/>
          <w:sz w:val="20"/>
        </w:rPr>
        <w:t xml:space="preserve">  Vedi il D.C.R. n. 94 del 18/11/2014 che ha approvato il Piano regionale di gestione dei rifiuti e bonifica dei siti inquinati.</w:t>
      </w:r>
    </w:p>
  </w:footnote>
  <w:footnote w:id="12">
    <w:p w:rsidR="000F6B18" w:rsidRDefault="001B0EF9">
      <w:pPr>
        <w:pStyle w:val="Rientrocorpodeltesto"/>
      </w:pPr>
      <w:r>
        <w:rPr>
          <w:rStyle w:val="FootnoteCharacters"/>
          <w:rFonts w:ascii="Times New Roman" w:hAnsi="Times New Roman"/>
        </w:rPr>
        <w:footnoteRef/>
      </w:r>
      <w:r>
        <w:rPr>
          <w:rStyle w:val="FootnoteCharacters"/>
          <w:rFonts w:ascii="Times New Roman" w:hAnsi="Times New Roman"/>
        </w:rPr>
        <w:tab/>
      </w:r>
      <w:r>
        <w:rPr>
          <w:rFonts w:ascii="Times New Roman" w:hAnsi="Times New Roman" w:cs="Times New Roman"/>
          <w:sz w:val="20"/>
        </w:rPr>
        <w:t xml:space="preserve"> Previsto dall’art. 10, comma 5 della Legge 23.03.2001 n. 93.</w:t>
      </w:r>
    </w:p>
  </w:footnote>
  <w:footnote w:id="13">
    <w:p w:rsidR="000F6B18" w:rsidRDefault="001B0EF9">
      <w:pPr>
        <w:pStyle w:val="Testonotaapidipagina"/>
      </w:pPr>
      <w:r>
        <w:rPr>
          <w:rStyle w:val="FootnoteCharacters"/>
          <w:rFonts w:ascii="Times New Roman" w:hAnsi="Times New Roman"/>
        </w:rPr>
        <w:footnoteRef/>
      </w:r>
      <w:r>
        <w:rPr>
          <w:rStyle w:val="FootnoteCharacters"/>
          <w:rFonts w:ascii="Times New Roman" w:hAnsi="Times New Roman"/>
        </w:rPr>
        <w:tab/>
      </w:r>
      <w:r>
        <w:t>Pagina 186 del Rapporto rifiuti urbani</w:t>
      </w:r>
      <w:r>
        <w:t xml:space="preserve"> 2015 dell'ISPRA. Si veda il sito alla nota 2.</w:t>
      </w:r>
    </w:p>
  </w:footnote>
  <w:footnote w:id="14">
    <w:p w:rsidR="000F6B18" w:rsidRDefault="001B0EF9">
      <w:pPr>
        <w:spacing w:line="100" w:lineRule="atLeast"/>
        <w:ind w:left="4"/>
        <w:jc w:val="both"/>
        <w:rPr>
          <w:rFonts w:ascii="Times New Roman" w:eastAsia="Trebuchet MS" w:hAnsi="Times New Roman" w:cs="Times New Roman"/>
          <w:sz w:val="20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Style w:val="FootnoteCharacters"/>
          <w:rFonts w:ascii="Times New Roman" w:hAnsi="Times New Roman"/>
        </w:rPr>
        <w:tab/>
      </w:r>
      <w:r>
        <w:rPr>
          <w:rFonts w:ascii="Times New Roman" w:eastAsia="Trebuchet MS" w:hAnsi="Times New Roman" w:cs="Times New Roman"/>
          <w:sz w:val="20"/>
        </w:rPr>
        <w:t xml:space="preserve"> - AGCOM, in “Indagine conoscitiva sui rifiuti solidi urbani”, Sintesi e Conclusioni, capoverso 19, pagina V e pagine 33-34 in “La dimensione degli Ambiti Territoriali Ottimali” vedi:</w:t>
      </w:r>
    </w:p>
    <w:p w:rsidR="000F6B18" w:rsidRDefault="001B0EF9">
      <w:pPr>
        <w:spacing w:line="100" w:lineRule="atLeast"/>
        <w:ind w:left="4"/>
        <w:jc w:val="both"/>
      </w:pPr>
      <w:r>
        <w:rPr>
          <w:rFonts w:ascii="Times New Roman" w:eastAsia="Trebuchet MS" w:hAnsi="Times New Roman" w:cs="Times New Roman"/>
          <w:sz w:val="20"/>
        </w:rPr>
        <w:tab/>
        <w:t>http://www.agcm.it/com</w:t>
      </w:r>
      <w:r>
        <w:rPr>
          <w:rFonts w:ascii="Times New Roman" w:eastAsia="Trebuchet MS" w:hAnsi="Times New Roman" w:cs="Times New Roman"/>
          <w:sz w:val="20"/>
        </w:rPr>
        <w:t>ponent/joomdoc/allegati-news/IC49_testoindagine.pdf/download.html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B18" w:rsidRDefault="000F6B1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B18" w:rsidRDefault="001B0EF9">
    <w:pPr>
      <w:pStyle w:val="Intestazione"/>
      <w:tabs>
        <w:tab w:val="left" w:pos="6663"/>
      </w:tabs>
      <w:ind w:left="5103"/>
      <w:jc w:val="right"/>
      <w:rPr>
        <w:rFonts w:eastAsia="Helvetica"/>
        <w:sz w:val="20"/>
      </w:rPr>
    </w:pPr>
    <w:r>
      <w:rPr>
        <w:noProof/>
        <w:lang w:eastAsia="it-IT"/>
      </w:rPr>
      <w:drawing>
        <wp:inline distT="0" distB="0" distL="19050" distR="9525">
          <wp:extent cx="847725" cy="828675"/>
          <wp:effectExtent l="0" t="0" r="0" b="0"/>
          <wp:docPr id="2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anchor distT="0" distB="0" distL="108585" distR="93345" simplePos="0" relativeHeight="2" behindDoc="1" locked="0" layoutInCell="1" allowOverlap="1">
          <wp:simplePos x="0" y="0"/>
          <wp:positionH relativeFrom="page">
            <wp:posOffset>368300</wp:posOffset>
          </wp:positionH>
          <wp:positionV relativeFrom="page">
            <wp:posOffset>366395</wp:posOffset>
          </wp:positionV>
          <wp:extent cx="2376805" cy="861695"/>
          <wp:effectExtent l="0" t="0" r="0" b="0"/>
          <wp:wrapSquare wrapText="larges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376805" cy="861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F6B18" w:rsidRDefault="001B0EF9">
    <w:pPr>
      <w:pStyle w:val="Intestazione"/>
      <w:tabs>
        <w:tab w:val="left" w:pos="6663"/>
      </w:tabs>
      <w:ind w:left="0"/>
      <w:rPr>
        <w:rFonts w:eastAsia="Helvetica"/>
        <w:sz w:val="20"/>
      </w:rPr>
    </w:pPr>
    <w:r>
      <w:rPr>
        <w:rFonts w:eastAsia="Helvetica"/>
        <w:sz w:val="20"/>
      </w:rPr>
      <w:t xml:space="preserve">                                                                                                                                              </w:t>
    </w:r>
    <w:r>
      <w:rPr>
        <w:sz w:val="20"/>
      </w:rPr>
      <w:t>Gruppo consiliare</w:t>
    </w:r>
  </w:p>
  <w:p w:rsidR="000F6B18" w:rsidRDefault="001B0EF9">
    <w:pPr>
      <w:pStyle w:val="Intestazione"/>
      <w:tabs>
        <w:tab w:val="left" w:pos="6663"/>
      </w:tabs>
      <w:ind w:left="5103"/>
      <w:rPr>
        <w:sz w:val="20"/>
      </w:rPr>
    </w:pPr>
    <w:r>
      <w:rPr>
        <w:rFonts w:eastAsia="Helvetica"/>
        <w:sz w:val="20"/>
      </w:rPr>
      <w:t xml:space="preserve">                                             </w:t>
    </w:r>
    <w:r>
      <w:rPr>
        <w:sz w:val="20"/>
      </w:rPr>
      <w:t>SI Toscana a Sinistra</w:t>
    </w:r>
  </w:p>
  <w:p w:rsidR="000F6B18" w:rsidRDefault="001B0EF9">
    <w:pPr>
      <w:pStyle w:val="Intestazione"/>
      <w:tabs>
        <w:tab w:val="right" w:pos="8222"/>
      </w:tabs>
      <w:ind w:left="5103"/>
      <w:rPr>
        <w:sz w:val="20"/>
      </w:rPr>
    </w:pPr>
    <w:r>
      <w:rPr>
        <w:sz w:val="20"/>
      </w:rPr>
      <w:tab/>
      <w:t xml:space="preserve"> </w:t>
    </w:r>
    <w:r>
      <w:rPr>
        <w:sz w:val="20"/>
      </w:rPr>
      <w:tab/>
    </w:r>
  </w:p>
  <w:p w:rsidR="000F6B18" w:rsidRDefault="001B0EF9">
    <w:pPr>
      <w:pStyle w:val="Intestazione"/>
      <w:tabs>
        <w:tab w:val="right" w:pos="8222"/>
      </w:tabs>
      <w:ind w:left="5103"/>
    </w:pP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A0AB4"/>
    <w:multiLevelType w:val="multilevel"/>
    <w:tmpl w:val="90C430B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BE34BA"/>
    <w:multiLevelType w:val="multilevel"/>
    <w:tmpl w:val="E4B6B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41691049"/>
    <w:multiLevelType w:val="multilevel"/>
    <w:tmpl w:val="E004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000000"/>
        <w:sz w:val="24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59BB2D29"/>
    <w:multiLevelType w:val="multilevel"/>
    <w:tmpl w:val="63A4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18"/>
    <w:rsid w:val="000F6B18"/>
    <w:rsid w:val="001B0EF9"/>
    <w:rsid w:val="00D5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Arial" w:hAnsi="Arial" w:cs="Arial"/>
      <w:sz w:val="24"/>
      <w:lang w:eastAsia="zh-CN"/>
    </w:rPr>
  </w:style>
  <w:style w:type="paragraph" w:styleId="Titolo1">
    <w:name w:val="heading 1"/>
    <w:basedOn w:val="Normale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qFormat/>
    <w:pPr>
      <w:keepNext/>
      <w:jc w:val="center"/>
      <w:outlineLvl w:val="1"/>
    </w:pPr>
    <w:rPr>
      <w:b/>
      <w:sz w:val="28"/>
    </w:rPr>
  </w:style>
  <w:style w:type="paragraph" w:styleId="Titolo3">
    <w:name w:val="heading 3"/>
    <w:basedOn w:val="Normale"/>
    <w:qFormat/>
    <w:pPr>
      <w:keepNext/>
      <w:jc w:val="center"/>
      <w:outlineLvl w:val="2"/>
    </w:pPr>
    <w:rPr>
      <w:sz w:val="28"/>
    </w:rPr>
  </w:style>
  <w:style w:type="paragraph" w:styleId="Titolo4">
    <w:name w:val="heading 4"/>
    <w:basedOn w:val="Normale"/>
    <w:qFormat/>
    <w:pPr>
      <w:keepNext/>
      <w:jc w:val="both"/>
      <w:outlineLvl w:val="3"/>
    </w:pPr>
    <w:rPr>
      <w:b/>
    </w:rPr>
  </w:style>
  <w:style w:type="paragraph" w:styleId="Titolo5">
    <w:name w:val="heading 5"/>
    <w:basedOn w:val="Normale"/>
    <w:qFormat/>
    <w:pPr>
      <w:keepNext/>
      <w:jc w:val="both"/>
      <w:outlineLvl w:val="4"/>
    </w:pPr>
    <w:rPr>
      <w:b/>
    </w:rPr>
  </w:style>
  <w:style w:type="paragraph" w:styleId="Titolo6">
    <w:name w:val="heading 6"/>
    <w:basedOn w:val="Normale"/>
    <w:qFormat/>
    <w:pPr>
      <w:keepNext/>
      <w:jc w:val="both"/>
      <w:outlineLvl w:val="5"/>
    </w:pPr>
    <w:rPr>
      <w:b/>
      <w:sz w:val="28"/>
    </w:rPr>
  </w:style>
  <w:style w:type="paragraph" w:styleId="Titolo7">
    <w:name w:val="heading 7"/>
    <w:basedOn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qFormat/>
    <w:pPr>
      <w:keepNext/>
      <w:jc w:val="center"/>
      <w:outlineLvl w:val="7"/>
    </w:pPr>
    <w:rPr>
      <w:b/>
    </w:rPr>
  </w:style>
  <w:style w:type="paragraph" w:styleId="Titolo9">
    <w:name w:val="heading 9"/>
    <w:basedOn w:val="Normale"/>
    <w:qFormat/>
    <w:pPr>
      <w:spacing w:before="240" w:after="60"/>
      <w:outlineLvl w:val="8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OpenSymbol"/>
      <w:color w:val="000000"/>
      <w:sz w:val="28"/>
      <w:szCs w:val="28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4z0">
    <w:name w:val="WW8Num4z0"/>
    <w:qFormat/>
    <w:rPr>
      <w:rFonts w:ascii="Symbol" w:hAnsi="Symbol" w:cs="OpenSymbol"/>
      <w:color w:val="000000"/>
      <w:sz w:val="28"/>
      <w:szCs w:val="28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8Num5z0">
    <w:name w:val="WW8Num5z0"/>
    <w:qFormat/>
    <w:rPr>
      <w:rFonts w:ascii="Symbol" w:hAnsi="Symbol" w:cs="OpenSymbol"/>
      <w:color w:val="000000"/>
      <w:sz w:val="28"/>
      <w:szCs w:val="28"/>
    </w:rPr>
  </w:style>
  <w:style w:type="character" w:customStyle="1" w:styleId="WW8Num5z1">
    <w:name w:val="WW8Num5z1"/>
    <w:qFormat/>
    <w:rPr>
      <w:rFonts w:ascii="OpenSymbol" w:hAnsi="OpenSymbol" w:cs="OpenSymbol"/>
    </w:rPr>
  </w:style>
  <w:style w:type="character" w:customStyle="1" w:styleId="Carpredefinitoparagrafo2">
    <w:name w:val="Car. predefinito paragrafo2"/>
    <w:qFormat/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Times New Roman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  <w:sz w:val="32"/>
    </w:rPr>
  </w:style>
  <w:style w:type="character" w:customStyle="1" w:styleId="WW8Num10z1">
    <w:name w:val="WW8Num10z1"/>
    <w:qFormat/>
    <w:rPr>
      <w:rFonts w:ascii="Courier New" w:hAnsi="Courier New" w:cs="Times New Roman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  <w:sz w:val="20"/>
    </w:rPr>
  </w:style>
  <w:style w:type="character" w:customStyle="1" w:styleId="WW8Num17z1">
    <w:name w:val="WW8Num17z1"/>
    <w:qFormat/>
    <w:rPr>
      <w:rFonts w:ascii="Courier New" w:hAnsi="Courier New" w:cs="Courier New"/>
      <w:sz w:val="20"/>
    </w:rPr>
  </w:style>
  <w:style w:type="character" w:customStyle="1" w:styleId="WW8Num17z2">
    <w:name w:val="WW8Num17z2"/>
    <w:qFormat/>
    <w:rPr>
      <w:rFonts w:ascii="Wingdings" w:hAnsi="Wingdings" w:cs="Wingdings"/>
      <w:sz w:val="20"/>
    </w:rPr>
  </w:style>
  <w:style w:type="character" w:customStyle="1" w:styleId="Carpredefinitoparagrafo1">
    <w:name w:val="Car. predefinito paragrafo1"/>
    <w:qFormat/>
  </w:style>
  <w:style w:type="character" w:customStyle="1" w:styleId="CollegamentoInternet">
    <w:name w:val="Collegamento Internet"/>
    <w:basedOn w:val="Carpredefinitoparagrafo1"/>
    <w:rPr>
      <w:color w:val="0000FF"/>
      <w:u w:val="single"/>
    </w:rPr>
  </w:style>
  <w:style w:type="character" w:customStyle="1" w:styleId="float-l">
    <w:name w:val="float-l"/>
    <w:basedOn w:val="Carpredefinitoparagrafo1"/>
    <w:qFormat/>
  </w:style>
  <w:style w:type="character" w:customStyle="1" w:styleId="TestonormaleCarattere">
    <w:name w:val="Testo normale Carattere"/>
    <w:basedOn w:val="Carpredefinitoparagrafo1"/>
    <w:qFormat/>
    <w:rPr>
      <w:rFonts w:ascii="Consolas" w:hAnsi="Consolas" w:cs="Consolas"/>
      <w:sz w:val="21"/>
      <w:szCs w:val="21"/>
      <w:lang w:bidi="ar-SA"/>
    </w:rPr>
  </w:style>
  <w:style w:type="character" w:customStyle="1" w:styleId="apple-converted-space">
    <w:name w:val="apple-converted-space"/>
    <w:basedOn w:val="Carpredefinitoparagrafo1"/>
    <w:qFormat/>
  </w:style>
  <w:style w:type="character" w:styleId="Enfasigrassetto">
    <w:name w:val="Strong"/>
    <w:basedOn w:val="Carpredefinitoparagrafo1"/>
    <w:qFormat/>
    <w:rPr>
      <w:b/>
      <w:bCs/>
    </w:rPr>
  </w:style>
  <w:style w:type="character" w:customStyle="1" w:styleId="Enfasi">
    <w:name w:val="Enfasi"/>
    <w:basedOn w:val="Carpredefinitoparagrafo1"/>
    <w:qFormat/>
    <w:rPr>
      <w:i/>
      <w:iCs/>
    </w:rPr>
  </w:style>
  <w:style w:type="character" w:customStyle="1" w:styleId="A5">
    <w:name w:val="A5"/>
    <w:qFormat/>
    <w:rPr>
      <w:rFonts w:cs="Univers LT Std 47 Cn Lt"/>
      <w:color w:val="000000"/>
      <w:sz w:val="22"/>
      <w:szCs w:val="22"/>
    </w:rPr>
  </w:style>
  <w:style w:type="character" w:customStyle="1" w:styleId="share-count1">
    <w:name w:val="share-count1"/>
    <w:basedOn w:val="Carpredefinitoparagrafo1"/>
    <w:qFormat/>
  </w:style>
  <w:style w:type="character" w:customStyle="1" w:styleId="SottotitoloCarattere">
    <w:name w:val="Sottotitolo Carattere"/>
    <w:basedOn w:val="Carpredefinitoparagrafo1"/>
    <w:qFormat/>
    <w:rPr>
      <w:rFonts w:ascii="Cambria" w:hAnsi="Cambria" w:cs="Cambria"/>
      <w:sz w:val="24"/>
      <w:szCs w:val="24"/>
    </w:rPr>
  </w:style>
  <w:style w:type="character" w:customStyle="1" w:styleId="Caratterenotaapidipagina">
    <w:name w:val="Carattere nota a piè di pagina"/>
    <w:qFormat/>
  </w:style>
  <w:style w:type="character" w:customStyle="1" w:styleId="Rimandonotaapidipagina1">
    <w:name w:val="Rimando nota a piè di pagina1"/>
    <w:qFormat/>
    <w:rPr>
      <w:vertAlign w:val="superscript"/>
    </w:rPr>
  </w:style>
  <w:style w:type="character" w:customStyle="1" w:styleId="TestonotaapidipaginaCarattere">
    <w:name w:val="Testo nota a piè di pagina Carattere"/>
    <w:basedOn w:val="Carpredefinitoparagrafo1"/>
    <w:qFormat/>
    <w:rPr>
      <w:rFonts w:ascii="Liberation Serif" w:eastAsia="Droid Sans Fallback" w:hAnsi="Liberation Serif" w:cs="FreeSans"/>
      <w:lang w:eastAsia="zh-CN" w:bidi="hi-IN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Caratterenotadichiusura">
    <w:name w:val="Carattere nota di chiusura"/>
    <w:qFormat/>
  </w:style>
  <w:style w:type="character" w:styleId="Rimandonotaapidipagina">
    <w:name w:val="footnote reference"/>
    <w:qFormat/>
    <w:rPr>
      <w:vertAlign w:val="superscript"/>
    </w:rPr>
  </w:style>
  <w:style w:type="character" w:styleId="Rimandonotadichiusura">
    <w:name w:val="endnote reference"/>
    <w:qFormat/>
    <w:rPr>
      <w:vertAlign w:val="superscript"/>
    </w:rPr>
  </w:style>
  <w:style w:type="character" w:customStyle="1" w:styleId="ListLabel1">
    <w:name w:val="ListLabel 1"/>
    <w:qFormat/>
    <w:rPr>
      <w:rFonts w:ascii="Times New Roman" w:hAnsi="Times New Roman" w:cs="OpenSymbol"/>
      <w:color w:val="000000"/>
      <w:sz w:val="28"/>
      <w:szCs w:val="28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  <w:color w:val="000000"/>
      <w:sz w:val="28"/>
      <w:szCs w:val="28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  <w:color w:val="000000"/>
      <w:sz w:val="28"/>
      <w:szCs w:val="28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Times New Roman" w:hAnsi="Times New Roman" w:cs="OpenSymbol"/>
      <w:color w:val="000000"/>
      <w:sz w:val="28"/>
      <w:szCs w:val="28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  <w:color w:val="000000"/>
      <w:sz w:val="28"/>
      <w:szCs w:val="28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  <w:color w:val="000000"/>
      <w:sz w:val="28"/>
      <w:szCs w:val="28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Times New Roman" w:hAnsi="Times New Roman" w:cs="OpenSymbol"/>
      <w:color w:val="000000"/>
      <w:sz w:val="24"/>
      <w:szCs w:val="28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  <w:color w:val="000000"/>
      <w:sz w:val="28"/>
      <w:szCs w:val="28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  <w:color w:val="000000"/>
      <w:sz w:val="28"/>
      <w:szCs w:val="28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paragraph" w:customStyle="1" w:styleId="Titolo10">
    <w:name w:val="Titolo1"/>
    <w:basedOn w:val="Normale"/>
    <w:next w:val="Corpodeltes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Corpodeltesto">
    <w:name w:val="Corpo del testo"/>
    <w:basedOn w:val="Normale"/>
    <w:pPr>
      <w:spacing w:line="360" w:lineRule="auto"/>
      <w:jc w:val="both"/>
    </w:pPr>
    <w:rPr>
      <w:rFonts w:ascii="Verdana" w:hAnsi="Verdana" w:cs="Verdana"/>
      <w:sz w:val="26"/>
      <w:szCs w:val="24"/>
    </w:r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paragraph" w:customStyle="1" w:styleId="Titolo11">
    <w:name w:val="Titolo1"/>
    <w:basedOn w:val="Normale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Didascalia1">
    <w:name w:val="Didascalia1"/>
    <w:basedOn w:val="Normale"/>
    <w:qFormat/>
    <w:pPr>
      <w:spacing w:before="100" w:after="100"/>
    </w:pPr>
    <w:rPr>
      <w:rFonts w:ascii="Times New Roman" w:hAnsi="Times New Roman" w:cs="Times New Roman"/>
      <w:szCs w:val="24"/>
    </w:rPr>
  </w:style>
  <w:style w:type="paragraph" w:customStyle="1" w:styleId="firma">
    <w:name w:val="firma"/>
    <w:qFormat/>
    <w:pPr>
      <w:suppressAutoHyphens/>
      <w:ind w:firstLine="4536"/>
      <w:jc w:val="center"/>
    </w:pPr>
    <w:rPr>
      <w:rFonts w:ascii="Arial" w:hAnsi="Arial" w:cs="Arial"/>
      <w:sz w:val="24"/>
      <w:lang w:eastAsia="zh-CN"/>
    </w:rPr>
  </w:style>
  <w:style w:type="paragraph" w:customStyle="1" w:styleId="indirizzo">
    <w:name w:val="indirizzo"/>
    <w:qFormat/>
    <w:pPr>
      <w:suppressAutoHyphens/>
      <w:spacing w:before="240" w:after="480"/>
      <w:ind w:left="4820"/>
    </w:pPr>
    <w:rPr>
      <w:rFonts w:ascii="Arial" w:hAnsi="Arial" w:cs="Arial"/>
      <w:sz w:val="24"/>
      <w:lang w:eastAsia="zh-CN"/>
    </w:rPr>
  </w:style>
  <w:style w:type="paragraph" w:customStyle="1" w:styleId="oggetto">
    <w:name w:val="oggetto"/>
    <w:qFormat/>
    <w:pPr>
      <w:suppressAutoHyphens/>
      <w:spacing w:before="240" w:after="240"/>
      <w:ind w:left="1418" w:hanging="1418"/>
    </w:pPr>
    <w:rPr>
      <w:rFonts w:ascii="Arial" w:hAnsi="Arial" w:cs="Arial"/>
      <w:sz w:val="24"/>
      <w:lang w:eastAsia="zh-CN"/>
    </w:rPr>
  </w:style>
  <w:style w:type="paragraph" w:customStyle="1" w:styleId="paragrafo1">
    <w:name w:val="paragrafo1"/>
    <w:qFormat/>
    <w:pPr>
      <w:suppressAutoHyphens/>
      <w:spacing w:line="240" w:lineRule="atLeast"/>
      <w:ind w:firstLine="567"/>
      <w:jc w:val="both"/>
    </w:pPr>
    <w:rPr>
      <w:rFonts w:ascii="Arial" w:hAnsi="Arial" w:cs="Arial"/>
      <w:sz w:val="24"/>
      <w:lang w:eastAsia="zh-CN"/>
    </w:rPr>
  </w:style>
  <w:style w:type="paragraph" w:customStyle="1" w:styleId="paragrafo2">
    <w:name w:val="paragrafo2"/>
    <w:qFormat/>
    <w:pPr>
      <w:suppressAutoHyphens/>
      <w:spacing w:line="480" w:lineRule="atLeast"/>
      <w:ind w:firstLine="567"/>
      <w:jc w:val="both"/>
    </w:pPr>
    <w:rPr>
      <w:rFonts w:ascii="Arial" w:hAnsi="Arial" w:cs="Arial"/>
      <w:sz w:val="24"/>
      <w:lang w:eastAsia="zh-CN"/>
    </w:rPr>
  </w:style>
  <w:style w:type="paragraph" w:styleId="Firma0">
    <w:name w:val="Signature"/>
    <w:basedOn w:val="Normale"/>
    <w:pPr>
      <w:ind w:left="4252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ind w:left="7230"/>
    </w:pPr>
    <w:rPr>
      <w:rFonts w:ascii="Helvetica" w:hAnsi="Helvetica" w:cs="Helvetica"/>
      <w:b/>
      <w:sz w:val="1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ind w:left="7230"/>
    </w:pPr>
    <w:rPr>
      <w:rFonts w:ascii="Times New Roman" w:hAnsi="Times New Roman" w:cs="Times New Roman"/>
      <w:sz w:val="16"/>
    </w:rPr>
  </w:style>
  <w:style w:type="paragraph" w:customStyle="1" w:styleId="InsideAddress">
    <w:name w:val="InsideAddress"/>
    <w:basedOn w:val="Normale"/>
    <w:qFormat/>
    <w:pPr>
      <w:spacing w:line="240" w:lineRule="atLeast"/>
      <w:ind w:left="5557"/>
    </w:pPr>
    <w:rPr>
      <w:rFonts w:ascii="Times New Roman" w:hAnsi="Times New Roman" w:cs="Times New Roman"/>
    </w:rPr>
  </w:style>
  <w:style w:type="paragraph" w:customStyle="1" w:styleId="Oggetto0">
    <w:name w:val="Oggetto"/>
    <w:basedOn w:val="Normale"/>
    <w:qFormat/>
    <w:pPr>
      <w:ind w:right="578"/>
    </w:pPr>
    <w:rPr>
      <w:rFonts w:ascii="Times New Roman" w:hAnsi="Times New Roman" w:cs="Times New Roman"/>
      <w:b/>
    </w:rPr>
  </w:style>
  <w:style w:type="paragraph" w:styleId="Rientrocorpodeltesto">
    <w:name w:val="Body Text Indent"/>
    <w:basedOn w:val="Normale"/>
    <w:pPr>
      <w:ind w:firstLine="708"/>
      <w:jc w:val="both"/>
    </w:pPr>
  </w:style>
  <w:style w:type="paragraph" w:customStyle="1" w:styleId="Rientrocorpodeltesto21">
    <w:name w:val="Rientro corpo del testo 21"/>
    <w:basedOn w:val="Normale"/>
    <w:qFormat/>
    <w:pPr>
      <w:spacing w:line="360" w:lineRule="auto"/>
      <w:ind w:left="357" w:hanging="357"/>
      <w:jc w:val="both"/>
    </w:pPr>
    <w:rPr>
      <w:rFonts w:ascii="Verdana" w:hAnsi="Verdana" w:cs="Verdana"/>
      <w:sz w:val="26"/>
      <w:szCs w:val="24"/>
    </w:rPr>
  </w:style>
  <w:style w:type="paragraph" w:customStyle="1" w:styleId="Corpodeltesto21">
    <w:name w:val="Corpo del testo 21"/>
    <w:basedOn w:val="Normale"/>
    <w:qFormat/>
    <w:rPr>
      <w:rFonts w:ascii="Times New Roman" w:hAnsi="Times New Roman" w:cs="Times New Roman"/>
      <w:sz w:val="26"/>
    </w:rPr>
  </w:style>
  <w:style w:type="paragraph" w:customStyle="1" w:styleId="Corpodeltesto31">
    <w:name w:val="Corpo del testo 31"/>
    <w:basedOn w:val="Normale"/>
    <w:qFormat/>
    <w:pPr>
      <w:spacing w:line="340" w:lineRule="exact"/>
      <w:jc w:val="both"/>
    </w:pPr>
    <w:rPr>
      <w:rFonts w:ascii="Verdana" w:hAnsi="Verdana" w:cs="Verdana"/>
      <w:sz w:val="20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municatotitolo">
    <w:name w:val="comunicato_titolo"/>
    <w:basedOn w:val="Normale"/>
    <w:qFormat/>
    <w:pPr>
      <w:spacing w:before="100" w:after="100"/>
    </w:pPr>
    <w:rPr>
      <w:rFonts w:ascii="Times New Roman" w:hAnsi="Times New Roman" w:cs="Times New Roman"/>
      <w:color w:val="000000"/>
      <w:szCs w:val="24"/>
    </w:rPr>
  </w:style>
  <w:style w:type="paragraph" w:customStyle="1" w:styleId="comunicatosottotitolo">
    <w:name w:val="comunicato_sottotitolo"/>
    <w:basedOn w:val="Normale"/>
    <w:qFormat/>
    <w:pPr>
      <w:spacing w:before="100" w:after="100"/>
    </w:pPr>
    <w:rPr>
      <w:rFonts w:ascii="Times New Roman" w:hAnsi="Times New Roman" w:cs="Times New Roman"/>
      <w:color w:val="000000"/>
      <w:szCs w:val="24"/>
    </w:rPr>
  </w:style>
  <w:style w:type="paragraph" w:customStyle="1" w:styleId="comunicatobody">
    <w:name w:val="comunicato_body"/>
    <w:basedOn w:val="Normale"/>
    <w:qFormat/>
    <w:pPr>
      <w:spacing w:before="100" w:after="100"/>
    </w:pPr>
    <w:rPr>
      <w:rFonts w:ascii="Times New Roman" w:hAnsi="Times New Roman" w:cs="Times New Roman"/>
      <w:color w:val="000000"/>
      <w:szCs w:val="24"/>
    </w:rPr>
  </w:style>
  <w:style w:type="paragraph" w:customStyle="1" w:styleId="footnotes">
    <w:name w:val="footnotes"/>
    <w:basedOn w:val="Normale"/>
    <w:qFormat/>
    <w:pPr>
      <w:spacing w:before="100" w:after="100"/>
    </w:pPr>
    <w:rPr>
      <w:rFonts w:ascii="Times New Roman" w:hAnsi="Times New Roman" w:cs="Times New Roman"/>
      <w:szCs w:val="24"/>
    </w:rPr>
  </w:style>
  <w:style w:type="paragraph" w:customStyle="1" w:styleId="Testonormale1">
    <w:name w:val="Testo normale1"/>
    <w:basedOn w:val="Normale"/>
    <w:qFormat/>
    <w:rPr>
      <w:rFonts w:ascii="Consolas" w:hAnsi="Consolas" w:cs="Consolas"/>
      <w:sz w:val="21"/>
      <w:szCs w:val="21"/>
      <w:lang w:eastAsia="it-IT"/>
    </w:rPr>
  </w:style>
  <w:style w:type="paragraph" w:styleId="NormaleWeb">
    <w:name w:val="Normal (Web)"/>
    <w:basedOn w:val="Normale"/>
    <w:qFormat/>
    <w:pPr>
      <w:spacing w:before="100" w:after="100"/>
    </w:pPr>
    <w:rPr>
      <w:rFonts w:ascii="Times New Roman" w:eastAsia="Calibri" w:hAnsi="Times New Roman" w:cs="Times New Roman"/>
      <w:color w:val="000000"/>
      <w:szCs w:val="24"/>
    </w:rPr>
  </w:style>
  <w:style w:type="paragraph" w:customStyle="1" w:styleId="ManualConsidrant">
    <w:name w:val="Manual Considérant"/>
    <w:basedOn w:val="Normale"/>
    <w:qFormat/>
    <w:pPr>
      <w:spacing w:before="120" w:after="120"/>
      <w:ind w:left="709" w:hanging="709"/>
      <w:jc w:val="both"/>
    </w:pPr>
    <w:rPr>
      <w:rFonts w:ascii="Times New Roman" w:hAnsi="Times New Roman" w:cs="Times New Roman"/>
      <w:szCs w:val="24"/>
    </w:rPr>
  </w:style>
  <w:style w:type="paragraph" w:customStyle="1" w:styleId="a3520normalp4">
    <w:name w:val="a__35__20_normal_p4"/>
    <w:basedOn w:val="Normale"/>
    <w:qFormat/>
    <w:pPr>
      <w:spacing w:after="120"/>
    </w:pPr>
    <w:rPr>
      <w:rFonts w:ascii="Times New Roman" w:hAnsi="Times New Roman" w:cs="Times New Roman"/>
      <w:szCs w:val="24"/>
    </w:rPr>
  </w:style>
  <w:style w:type="paragraph" w:customStyle="1" w:styleId="Mappadocumento1">
    <w:name w:val="Mappa documento1"/>
    <w:basedOn w:val="Normale"/>
    <w:qFormat/>
    <w:pPr>
      <w:shd w:val="clear" w:color="auto" w:fill="000080"/>
    </w:pPr>
    <w:rPr>
      <w:rFonts w:ascii="Tahoma" w:hAnsi="Tahoma" w:cs="Tahoma"/>
      <w:sz w:val="20"/>
    </w:rPr>
  </w:style>
  <w:style w:type="paragraph" w:customStyle="1" w:styleId="Default">
    <w:name w:val="Default"/>
    <w:qFormat/>
    <w:pPr>
      <w:suppressAutoHyphens/>
    </w:pPr>
    <w:rPr>
      <w:color w:val="000000"/>
      <w:sz w:val="24"/>
      <w:szCs w:val="24"/>
      <w:lang w:eastAsia="zh-CN"/>
    </w:rPr>
  </w:style>
  <w:style w:type="paragraph" w:customStyle="1" w:styleId="Pa7">
    <w:name w:val="Pa7"/>
    <w:basedOn w:val="Normale"/>
    <w:qFormat/>
    <w:pPr>
      <w:spacing w:line="221" w:lineRule="atLeast"/>
    </w:pPr>
    <w:rPr>
      <w:rFonts w:ascii="Univers LT Std 47 Cn Lt" w:hAnsi="Univers LT Std 47 Cn Lt" w:cs="Univers LT Std 47 Cn Lt"/>
      <w:szCs w:val="24"/>
    </w:rPr>
  </w:style>
  <w:style w:type="paragraph" w:customStyle="1" w:styleId="metatext">
    <w:name w:val="meta_text"/>
    <w:basedOn w:val="Normale"/>
    <w:qFormat/>
    <w:pPr>
      <w:spacing w:before="150" w:after="150"/>
      <w:ind w:left="150" w:right="150"/>
    </w:pPr>
    <w:rPr>
      <w:rFonts w:ascii="Times New Roman" w:hAnsi="Times New Roman" w:cs="Times New Roman"/>
      <w:sz w:val="18"/>
      <w:szCs w:val="18"/>
    </w:rPr>
  </w:style>
  <w:style w:type="paragraph" w:customStyle="1" w:styleId="summary">
    <w:name w:val="summary"/>
    <w:basedOn w:val="Normale"/>
    <w:qFormat/>
    <w:pPr>
      <w:spacing w:after="240"/>
    </w:pPr>
    <w:rPr>
      <w:rFonts w:ascii="Helvetica" w:hAnsi="Helvetica" w:cs="Helvetica"/>
      <w:color w:val="616161"/>
      <w:szCs w:val="24"/>
    </w:rPr>
  </w:style>
  <w:style w:type="paragraph" w:styleId="Sottotitolo">
    <w:name w:val="Subtitle"/>
    <w:basedOn w:val="Normale"/>
    <w:qFormat/>
    <w:pPr>
      <w:spacing w:after="60"/>
      <w:jc w:val="center"/>
    </w:pPr>
    <w:rPr>
      <w:rFonts w:ascii="Cambria" w:hAnsi="Cambria" w:cs="Cambria"/>
      <w:szCs w:val="24"/>
    </w:rPr>
  </w:style>
  <w:style w:type="paragraph" w:styleId="Testonotaapidipagina">
    <w:name w:val="footnote text"/>
    <w:basedOn w:val="Normale"/>
    <w:qFormat/>
    <w:pPr>
      <w:widowControl w:val="0"/>
      <w:suppressLineNumbers/>
      <w:ind w:left="339" w:hanging="339"/>
    </w:pPr>
    <w:rPr>
      <w:rFonts w:ascii="Liberation Serif" w:eastAsia="Droid Sans Fallback" w:hAnsi="Liberation Serif" w:cs="FreeSans"/>
      <w:sz w:val="20"/>
      <w:lang w:bidi="hi-IN"/>
    </w:rPr>
  </w:style>
  <w:style w:type="paragraph" w:customStyle="1" w:styleId="TitoloecontenutoLTGliederung1">
    <w:name w:val="Titolo e contenuto~LT~Gliederung 1"/>
    <w:qFormat/>
    <w:pPr>
      <w:suppressAutoHyphens/>
      <w:spacing w:before="283" w:line="200" w:lineRule="atLeast"/>
    </w:pPr>
    <w:rPr>
      <w:rFonts w:ascii="FreeSans" w:eastAsia="DejaVu Sans" w:hAnsi="FreeSans" w:cs="Liberation Sans"/>
      <w:color w:val="303030"/>
      <w:sz w:val="48"/>
      <w:szCs w:val="24"/>
      <w:lang w:eastAsia="zh-CN" w:bidi="hi-IN"/>
    </w:rPr>
  </w:style>
  <w:style w:type="paragraph" w:customStyle="1" w:styleId="TitoloecontenutoLTGliederung2">
    <w:name w:val="Titolo e contenuto~LT~Gliederung 2"/>
    <w:basedOn w:val="TitoloecontenutoLTGliederung1"/>
    <w:qFormat/>
    <w:pPr>
      <w:spacing w:before="227"/>
    </w:pPr>
    <w:rPr>
      <w:rFonts w:cs="FreeSans"/>
      <w:sz w:val="40"/>
    </w:rPr>
  </w:style>
  <w:style w:type="paragraph" w:customStyle="1" w:styleId="Notaapidipagina">
    <w:name w:val="Nota a piè di pagina"/>
    <w:basedOn w:val="Normal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Arial" w:hAnsi="Arial" w:cs="Arial"/>
      <w:sz w:val="24"/>
      <w:lang w:eastAsia="zh-CN"/>
    </w:rPr>
  </w:style>
  <w:style w:type="paragraph" w:styleId="Titolo1">
    <w:name w:val="heading 1"/>
    <w:basedOn w:val="Normale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qFormat/>
    <w:pPr>
      <w:keepNext/>
      <w:jc w:val="center"/>
      <w:outlineLvl w:val="1"/>
    </w:pPr>
    <w:rPr>
      <w:b/>
      <w:sz w:val="28"/>
    </w:rPr>
  </w:style>
  <w:style w:type="paragraph" w:styleId="Titolo3">
    <w:name w:val="heading 3"/>
    <w:basedOn w:val="Normale"/>
    <w:qFormat/>
    <w:pPr>
      <w:keepNext/>
      <w:jc w:val="center"/>
      <w:outlineLvl w:val="2"/>
    </w:pPr>
    <w:rPr>
      <w:sz w:val="28"/>
    </w:rPr>
  </w:style>
  <w:style w:type="paragraph" w:styleId="Titolo4">
    <w:name w:val="heading 4"/>
    <w:basedOn w:val="Normale"/>
    <w:qFormat/>
    <w:pPr>
      <w:keepNext/>
      <w:jc w:val="both"/>
      <w:outlineLvl w:val="3"/>
    </w:pPr>
    <w:rPr>
      <w:b/>
    </w:rPr>
  </w:style>
  <w:style w:type="paragraph" w:styleId="Titolo5">
    <w:name w:val="heading 5"/>
    <w:basedOn w:val="Normale"/>
    <w:qFormat/>
    <w:pPr>
      <w:keepNext/>
      <w:jc w:val="both"/>
      <w:outlineLvl w:val="4"/>
    </w:pPr>
    <w:rPr>
      <w:b/>
    </w:rPr>
  </w:style>
  <w:style w:type="paragraph" w:styleId="Titolo6">
    <w:name w:val="heading 6"/>
    <w:basedOn w:val="Normale"/>
    <w:qFormat/>
    <w:pPr>
      <w:keepNext/>
      <w:jc w:val="both"/>
      <w:outlineLvl w:val="5"/>
    </w:pPr>
    <w:rPr>
      <w:b/>
      <w:sz w:val="28"/>
    </w:rPr>
  </w:style>
  <w:style w:type="paragraph" w:styleId="Titolo7">
    <w:name w:val="heading 7"/>
    <w:basedOn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qFormat/>
    <w:pPr>
      <w:keepNext/>
      <w:jc w:val="center"/>
      <w:outlineLvl w:val="7"/>
    </w:pPr>
    <w:rPr>
      <w:b/>
    </w:rPr>
  </w:style>
  <w:style w:type="paragraph" w:styleId="Titolo9">
    <w:name w:val="heading 9"/>
    <w:basedOn w:val="Normale"/>
    <w:qFormat/>
    <w:pPr>
      <w:spacing w:before="240" w:after="60"/>
      <w:outlineLvl w:val="8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OpenSymbol"/>
      <w:color w:val="000000"/>
      <w:sz w:val="28"/>
      <w:szCs w:val="28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4z0">
    <w:name w:val="WW8Num4z0"/>
    <w:qFormat/>
    <w:rPr>
      <w:rFonts w:ascii="Symbol" w:hAnsi="Symbol" w:cs="OpenSymbol"/>
      <w:color w:val="000000"/>
      <w:sz w:val="28"/>
      <w:szCs w:val="28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8Num5z0">
    <w:name w:val="WW8Num5z0"/>
    <w:qFormat/>
    <w:rPr>
      <w:rFonts w:ascii="Symbol" w:hAnsi="Symbol" w:cs="OpenSymbol"/>
      <w:color w:val="000000"/>
      <w:sz w:val="28"/>
      <w:szCs w:val="28"/>
    </w:rPr>
  </w:style>
  <w:style w:type="character" w:customStyle="1" w:styleId="WW8Num5z1">
    <w:name w:val="WW8Num5z1"/>
    <w:qFormat/>
    <w:rPr>
      <w:rFonts w:ascii="OpenSymbol" w:hAnsi="OpenSymbol" w:cs="OpenSymbol"/>
    </w:rPr>
  </w:style>
  <w:style w:type="character" w:customStyle="1" w:styleId="Carpredefinitoparagrafo2">
    <w:name w:val="Car. predefinito paragrafo2"/>
    <w:qFormat/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Times New Roman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  <w:sz w:val="32"/>
    </w:rPr>
  </w:style>
  <w:style w:type="character" w:customStyle="1" w:styleId="WW8Num10z1">
    <w:name w:val="WW8Num10z1"/>
    <w:qFormat/>
    <w:rPr>
      <w:rFonts w:ascii="Courier New" w:hAnsi="Courier New" w:cs="Times New Roman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  <w:sz w:val="20"/>
    </w:rPr>
  </w:style>
  <w:style w:type="character" w:customStyle="1" w:styleId="WW8Num17z1">
    <w:name w:val="WW8Num17z1"/>
    <w:qFormat/>
    <w:rPr>
      <w:rFonts w:ascii="Courier New" w:hAnsi="Courier New" w:cs="Courier New"/>
      <w:sz w:val="20"/>
    </w:rPr>
  </w:style>
  <w:style w:type="character" w:customStyle="1" w:styleId="WW8Num17z2">
    <w:name w:val="WW8Num17z2"/>
    <w:qFormat/>
    <w:rPr>
      <w:rFonts w:ascii="Wingdings" w:hAnsi="Wingdings" w:cs="Wingdings"/>
      <w:sz w:val="20"/>
    </w:rPr>
  </w:style>
  <w:style w:type="character" w:customStyle="1" w:styleId="Carpredefinitoparagrafo1">
    <w:name w:val="Car. predefinito paragrafo1"/>
    <w:qFormat/>
  </w:style>
  <w:style w:type="character" w:customStyle="1" w:styleId="CollegamentoInternet">
    <w:name w:val="Collegamento Internet"/>
    <w:basedOn w:val="Carpredefinitoparagrafo1"/>
    <w:rPr>
      <w:color w:val="0000FF"/>
      <w:u w:val="single"/>
    </w:rPr>
  </w:style>
  <w:style w:type="character" w:customStyle="1" w:styleId="float-l">
    <w:name w:val="float-l"/>
    <w:basedOn w:val="Carpredefinitoparagrafo1"/>
    <w:qFormat/>
  </w:style>
  <w:style w:type="character" w:customStyle="1" w:styleId="TestonormaleCarattere">
    <w:name w:val="Testo normale Carattere"/>
    <w:basedOn w:val="Carpredefinitoparagrafo1"/>
    <w:qFormat/>
    <w:rPr>
      <w:rFonts w:ascii="Consolas" w:hAnsi="Consolas" w:cs="Consolas"/>
      <w:sz w:val="21"/>
      <w:szCs w:val="21"/>
      <w:lang w:bidi="ar-SA"/>
    </w:rPr>
  </w:style>
  <w:style w:type="character" w:customStyle="1" w:styleId="apple-converted-space">
    <w:name w:val="apple-converted-space"/>
    <w:basedOn w:val="Carpredefinitoparagrafo1"/>
    <w:qFormat/>
  </w:style>
  <w:style w:type="character" w:styleId="Enfasigrassetto">
    <w:name w:val="Strong"/>
    <w:basedOn w:val="Carpredefinitoparagrafo1"/>
    <w:qFormat/>
    <w:rPr>
      <w:b/>
      <w:bCs/>
    </w:rPr>
  </w:style>
  <w:style w:type="character" w:customStyle="1" w:styleId="Enfasi">
    <w:name w:val="Enfasi"/>
    <w:basedOn w:val="Carpredefinitoparagrafo1"/>
    <w:qFormat/>
    <w:rPr>
      <w:i/>
      <w:iCs/>
    </w:rPr>
  </w:style>
  <w:style w:type="character" w:customStyle="1" w:styleId="A5">
    <w:name w:val="A5"/>
    <w:qFormat/>
    <w:rPr>
      <w:rFonts w:cs="Univers LT Std 47 Cn Lt"/>
      <w:color w:val="000000"/>
      <w:sz w:val="22"/>
      <w:szCs w:val="22"/>
    </w:rPr>
  </w:style>
  <w:style w:type="character" w:customStyle="1" w:styleId="share-count1">
    <w:name w:val="share-count1"/>
    <w:basedOn w:val="Carpredefinitoparagrafo1"/>
    <w:qFormat/>
  </w:style>
  <w:style w:type="character" w:customStyle="1" w:styleId="SottotitoloCarattere">
    <w:name w:val="Sottotitolo Carattere"/>
    <w:basedOn w:val="Carpredefinitoparagrafo1"/>
    <w:qFormat/>
    <w:rPr>
      <w:rFonts w:ascii="Cambria" w:hAnsi="Cambria" w:cs="Cambria"/>
      <w:sz w:val="24"/>
      <w:szCs w:val="24"/>
    </w:rPr>
  </w:style>
  <w:style w:type="character" w:customStyle="1" w:styleId="Caratterenotaapidipagina">
    <w:name w:val="Carattere nota a piè di pagina"/>
    <w:qFormat/>
  </w:style>
  <w:style w:type="character" w:customStyle="1" w:styleId="Rimandonotaapidipagina1">
    <w:name w:val="Rimando nota a piè di pagina1"/>
    <w:qFormat/>
    <w:rPr>
      <w:vertAlign w:val="superscript"/>
    </w:rPr>
  </w:style>
  <w:style w:type="character" w:customStyle="1" w:styleId="TestonotaapidipaginaCarattere">
    <w:name w:val="Testo nota a piè di pagina Carattere"/>
    <w:basedOn w:val="Carpredefinitoparagrafo1"/>
    <w:qFormat/>
    <w:rPr>
      <w:rFonts w:ascii="Liberation Serif" w:eastAsia="Droid Sans Fallback" w:hAnsi="Liberation Serif" w:cs="FreeSans"/>
      <w:lang w:eastAsia="zh-CN" w:bidi="hi-IN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Caratterenotadichiusura">
    <w:name w:val="Carattere nota di chiusura"/>
    <w:qFormat/>
  </w:style>
  <w:style w:type="character" w:styleId="Rimandonotaapidipagina">
    <w:name w:val="footnote reference"/>
    <w:qFormat/>
    <w:rPr>
      <w:vertAlign w:val="superscript"/>
    </w:rPr>
  </w:style>
  <w:style w:type="character" w:styleId="Rimandonotadichiusura">
    <w:name w:val="endnote reference"/>
    <w:qFormat/>
    <w:rPr>
      <w:vertAlign w:val="superscript"/>
    </w:rPr>
  </w:style>
  <w:style w:type="character" w:customStyle="1" w:styleId="ListLabel1">
    <w:name w:val="ListLabel 1"/>
    <w:qFormat/>
    <w:rPr>
      <w:rFonts w:ascii="Times New Roman" w:hAnsi="Times New Roman" w:cs="OpenSymbol"/>
      <w:color w:val="000000"/>
      <w:sz w:val="28"/>
      <w:szCs w:val="28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  <w:color w:val="000000"/>
      <w:sz w:val="28"/>
      <w:szCs w:val="28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  <w:color w:val="000000"/>
      <w:sz w:val="28"/>
      <w:szCs w:val="28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Times New Roman" w:hAnsi="Times New Roman" w:cs="OpenSymbol"/>
      <w:color w:val="000000"/>
      <w:sz w:val="28"/>
      <w:szCs w:val="28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  <w:color w:val="000000"/>
      <w:sz w:val="28"/>
      <w:szCs w:val="28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  <w:color w:val="000000"/>
      <w:sz w:val="28"/>
      <w:szCs w:val="28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Times New Roman" w:hAnsi="Times New Roman" w:cs="OpenSymbol"/>
      <w:color w:val="000000"/>
      <w:sz w:val="24"/>
      <w:szCs w:val="28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  <w:color w:val="000000"/>
      <w:sz w:val="28"/>
      <w:szCs w:val="28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  <w:color w:val="000000"/>
      <w:sz w:val="28"/>
      <w:szCs w:val="28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paragraph" w:customStyle="1" w:styleId="Titolo10">
    <w:name w:val="Titolo1"/>
    <w:basedOn w:val="Normale"/>
    <w:next w:val="Corpodeltes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Corpodeltesto">
    <w:name w:val="Corpo del testo"/>
    <w:basedOn w:val="Normale"/>
    <w:pPr>
      <w:spacing w:line="360" w:lineRule="auto"/>
      <w:jc w:val="both"/>
    </w:pPr>
    <w:rPr>
      <w:rFonts w:ascii="Verdana" w:hAnsi="Verdana" w:cs="Verdana"/>
      <w:sz w:val="26"/>
      <w:szCs w:val="24"/>
    </w:r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paragraph" w:customStyle="1" w:styleId="Titolo11">
    <w:name w:val="Titolo1"/>
    <w:basedOn w:val="Normale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Didascalia1">
    <w:name w:val="Didascalia1"/>
    <w:basedOn w:val="Normale"/>
    <w:qFormat/>
    <w:pPr>
      <w:spacing w:before="100" w:after="100"/>
    </w:pPr>
    <w:rPr>
      <w:rFonts w:ascii="Times New Roman" w:hAnsi="Times New Roman" w:cs="Times New Roman"/>
      <w:szCs w:val="24"/>
    </w:rPr>
  </w:style>
  <w:style w:type="paragraph" w:customStyle="1" w:styleId="firma">
    <w:name w:val="firma"/>
    <w:qFormat/>
    <w:pPr>
      <w:suppressAutoHyphens/>
      <w:ind w:firstLine="4536"/>
      <w:jc w:val="center"/>
    </w:pPr>
    <w:rPr>
      <w:rFonts w:ascii="Arial" w:hAnsi="Arial" w:cs="Arial"/>
      <w:sz w:val="24"/>
      <w:lang w:eastAsia="zh-CN"/>
    </w:rPr>
  </w:style>
  <w:style w:type="paragraph" w:customStyle="1" w:styleId="indirizzo">
    <w:name w:val="indirizzo"/>
    <w:qFormat/>
    <w:pPr>
      <w:suppressAutoHyphens/>
      <w:spacing w:before="240" w:after="480"/>
      <w:ind w:left="4820"/>
    </w:pPr>
    <w:rPr>
      <w:rFonts w:ascii="Arial" w:hAnsi="Arial" w:cs="Arial"/>
      <w:sz w:val="24"/>
      <w:lang w:eastAsia="zh-CN"/>
    </w:rPr>
  </w:style>
  <w:style w:type="paragraph" w:customStyle="1" w:styleId="oggetto">
    <w:name w:val="oggetto"/>
    <w:qFormat/>
    <w:pPr>
      <w:suppressAutoHyphens/>
      <w:spacing w:before="240" w:after="240"/>
      <w:ind w:left="1418" w:hanging="1418"/>
    </w:pPr>
    <w:rPr>
      <w:rFonts w:ascii="Arial" w:hAnsi="Arial" w:cs="Arial"/>
      <w:sz w:val="24"/>
      <w:lang w:eastAsia="zh-CN"/>
    </w:rPr>
  </w:style>
  <w:style w:type="paragraph" w:customStyle="1" w:styleId="paragrafo1">
    <w:name w:val="paragrafo1"/>
    <w:qFormat/>
    <w:pPr>
      <w:suppressAutoHyphens/>
      <w:spacing w:line="240" w:lineRule="atLeast"/>
      <w:ind w:firstLine="567"/>
      <w:jc w:val="both"/>
    </w:pPr>
    <w:rPr>
      <w:rFonts w:ascii="Arial" w:hAnsi="Arial" w:cs="Arial"/>
      <w:sz w:val="24"/>
      <w:lang w:eastAsia="zh-CN"/>
    </w:rPr>
  </w:style>
  <w:style w:type="paragraph" w:customStyle="1" w:styleId="paragrafo2">
    <w:name w:val="paragrafo2"/>
    <w:qFormat/>
    <w:pPr>
      <w:suppressAutoHyphens/>
      <w:spacing w:line="480" w:lineRule="atLeast"/>
      <w:ind w:firstLine="567"/>
      <w:jc w:val="both"/>
    </w:pPr>
    <w:rPr>
      <w:rFonts w:ascii="Arial" w:hAnsi="Arial" w:cs="Arial"/>
      <w:sz w:val="24"/>
      <w:lang w:eastAsia="zh-CN"/>
    </w:rPr>
  </w:style>
  <w:style w:type="paragraph" w:styleId="Firma0">
    <w:name w:val="Signature"/>
    <w:basedOn w:val="Normale"/>
    <w:pPr>
      <w:ind w:left="4252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ind w:left="7230"/>
    </w:pPr>
    <w:rPr>
      <w:rFonts w:ascii="Helvetica" w:hAnsi="Helvetica" w:cs="Helvetica"/>
      <w:b/>
      <w:sz w:val="1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ind w:left="7230"/>
    </w:pPr>
    <w:rPr>
      <w:rFonts w:ascii="Times New Roman" w:hAnsi="Times New Roman" w:cs="Times New Roman"/>
      <w:sz w:val="16"/>
    </w:rPr>
  </w:style>
  <w:style w:type="paragraph" w:customStyle="1" w:styleId="InsideAddress">
    <w:name w:val="InsideAddress"/>
    <w:basedOn w:val="Normale"/>
    <w:qFormat/>
    <w:pPr>
      <w:spacing w:line="240" w:lineRule="atLeast"/>
      <w:ind w:left="5557"/>
    </w:pPr>
    <w:rPr>
      <w:rFonts w:ascii="Times New Roman" w:hAnsi="Times New Roman" w:cs="Times New Roman"/>
    </w:rPr>
  </w:style>
  <w:style w:type="paragraph" w:customStyle="1" w:styleId="Oggetto0">
    <w:name w:val="Oggetto"/>
    <w:basedOn w:val="Normale"/>
    <w:qFormat/>
    <w:pPr>
      <w:ind w:right="578"/>
    </w:pPr>
    <w:rPr>
      <w:rFonts w:ascii="Times New Roman" w:hAnsi="Times New Roman" w:cs="Times New Roman"/>
      <w:b/>
    </w:rPr>
  </w:style>
  <w:style w:type="paragraph" w:styleId="Rientrocorpodeltesto">
    <w:name w:val="Body Text Indent"/>
    <w:basedOn w:val="Normale"/>
    <w:pPr>
      <w:ind w:firstLine="708"/>
      <w:jc w:val="both"/>
    </w:pPr>
  </w:style>
  <w:style w:type="paragraph" w:customStyle="1" w:styleId="Rientrocorpodeltesto21">
    <w:name w:val="Rientro corpo del testo 21"/>
    <w:basedOn w:val="Normale"/>
    <w:qFormat/>
    <w:pPr>
      <w:spacing w:line="360" w:lineRule="auto"/>
      <w:ind w:left="357" w:hanging="357"/>
      <w:jc w:val="both"/>
    </w:pPr>
    <w:rPr>
      <w:rFonts w:ascii="Verdana" w:hAnsi="Verdana" w:cs="Verdana"/>
      <w:sz w:val="26"/>
      <w:szCs w:val="24"/>
    </w:rPr>
  </w:style>
  <w:style w:type="paragraph" w:customStyle="1" w:styleId="Corpodeltesto21">
    <w:name w:val="Corpo del testo 21"/>
    <w:basedOn w:val="Normale"/>
    <w:qFormat/>
    <w:rPr>
      <w:rFonts w:ascii="Times New Roman" w:hAnsi="Times New Roman" w:cs="Times New Roman"/>
      <w:sz w:val="26"/>
    </w:rPr>
  </w:style>
  <w:style w:type="paragraph" w:customStyle="1" w:styleId="Corpodeltesto31">
    <w:name w:val="Corpo del testo 31"/>
    <w:basedOn w:val="Normale"/>
    <w:qFormat/>
    <w:pPr>
      <w:spacing w:line="340" w:lineRule="exact"/>
      <w:jc w:val="both"/>
    </w:pPr>
    <w:rPr>
      <w:rFonts w:ascii="Verdana" w:hAnsi="Verdana" w:cs="Verdana"/>
      <w:sz w:val="20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municatotitolo">
    <w:name w:val="comunicato_titolo"/>
    <w:basedOn w:val="Normale"/>
    <w:qFormat/>
    <w:pPr>
      <w:spacing w:before="100" w:after="100"/>
    </w:pPr>
    <w:rPr>
      <w:rFonts w:ascii="Times New Roman" w:hAnsi="Times New Roman" w:cs="Times New Roman"/>
      <w:color w:val="000000"/>
      <w:szCs w:val="24"/>
    </w:rPr>
  </w:style>
  <w:style w:type="paragraph" w:customStyle="1" w:styleId="comunicatosottotitolo">
    <w:name w:val="comunicato_sottotitolo"/>
    <w:basedOn w:val="Normale"/>
    <w:qFormat/>
    <w:pPr>
      <w:spacing w:before="100" w:after="100"/>
    </w:pPr>
    <w:rPr>
      <w:rFonts w:ascii="Times New Roman" w:hAnsi="Times New Roman" w:cs="Times New Roman"/>
      <w:color w:val="000000"/>
      <w:szCs w:val="24"/>
    </w:rPr>
  </w:style>
  <w:style w:type="paragraph" w:customStyle="1" w:styleId="comunicatobody">
    <w:name w:val="comunicato_body"/>
    <w:basedOn w:val="Normale"/>
    <w:qFormat/>
    <w:pPr>
      <w:spacing w:before="100" w:after="100"/>
    </w:pPr>
    <w:rPr>
      <w:rFonts w:ascii="Times New Roman" w:hAnsi="Times New Roman" w:cs="Times New Roman"/>
      <w:color w:val="000000"/>
      <w:szCs w:val="24"/>
    </w:rPr>
  </w:style>
  <w:style w:type="paragraph" w:customStyle="1" w:styleId="footnotes">
    <w:name w:val="footnotes"/>
    <w:basedOn w:val="Normale"/>
    <w:qFormat/>
    <w:pPr>
      <w:spacing w:before="100" w:after="100"/>
    </w:pPr>
    <w:rPr>
      <w:rFonts w:ascii="Times New Roman" w:hAnsi="Times New Roman" w:cs="Times New Roman"/>
      <w:szCs w:val="24"/>
    </w:rPr>
  </w:style>
  <w:style w:type="paragraph" w:customStyle="1" w:styleId="Testonormale1">
    <w:name w:val="Testo normale1"/>
    <w:basedOn w:val="Normale"/>
    <w:qFormat/>
    <w:rPr>
      <w:rFonts w:ascii="Consolas" w:hAnsi="Consolas" w:cs="Consolas"/>
      <w:sz w:val="21"/>
      <w:szCs w:val="21"/>
      <w:lang w:eastAsia="it-IT"/>
    </w:rPr>
  </w:style>
  <w:style w:type="paragraph" w:styleId="NormaleWeb">
    <w:name w:val="Normal (Web)"/>
    <w:basedOn w:val="Normale"/>
    <w:qFormat/>
    <w:pPr>
      <w:spacing w:before="100" w:after="100"/>
    </w:pPr>
    <w:rPr>
      <w:rFonts w:ascii="Times New Roman" w:eastAsia="Calibri" w:hAnsi="Times New Roman" w:cs="Times New Roman"/>
      <w:color w:val="000000"/>
      <w:szCs w:val="24"/>
    </w:rPr>
  </w:style>
  <w:style w:type="paragraph" w:customStyle="1" w:styleId="ManualConsidrant">
    <w:name w:val="Manual Considérant"/>
    <w:basedOn w:val="Normale"/>
    <w:qFormat/>
    <w:pPr>
      <w:spacing w:before="120" w:after="120"/>
      <w:ind w:left="709" w:hanging="709"/>
      <w:jc w:val="both"/>
    </w:pPr>
    <w:rPr>
      <w:rFonts w:ascii="Times New Roman" w:hAnsi="Times New Roman" w:cs="Times New Roman"/>
      <w:szCs w:val="24"/>
    </w:rPr>
  </w:style>
  <w:style w:type="paragraph" w:customStyle="1" w:styleId="a3520normalp4">
    <w:name w:val="a__35__20_normal_p4"/>
    <w:basedOn w:val="Normale"/>
    <w:qFormat/>
    <w:pPr>
      <w:spacing w:after="120"/>
    </w:pPr>
    <w:rPr>
      <w:rFonts w:ascii="Times New Roman" w:hAnsi="Times New Roman" w:cs="Times New Roman"/>
      <w:szCs w:val="24"/>
    </w:rPr>
  </w:style>
  <w:style w:type="paragraph" w:customStyle="1" w:styleId="Mappadocumento1">
    <w:name w:val="Mappa documento1"/>
    <w:basedOn w:val="Normale"/>
    <w:qFormat/>
    <w:pPr>
      <w:shd w:val="clear" w:color="auto" w:fill="000080"/>
    </w:pPr>
    <w:rPr>
      <w:rFonts w:ascii="Tahoma" w:hAnsi="Tahoma" w:cs="Tahoma"/>
      <w:sz w:val="20"/>
    </w:rPr>
  </w:style>
  <w:style w:type="paragraph" w:customStyle="1" w:styleId="Default">
    <w:name w:val="Default"/>
    <w:qFormat/>
    <w:pPr>
      <w:suppressAutoHyphens/>
    </w:pPr>
    <w:rPr>
      <w:color w:val="000000"/>
      <w:sz w:val="24"/>
      <w:szCs w:val="24"/>
      <w:lang w:eastAsia="zh-CN"/>
    </w:rPr>
  </w:style>
  <w:style w:type="paragraph" w:customStyle="1" w:styleId="Pa7">
    <w:name w:val="Pa7"/>
    <w:basedOn w:val="Normale"/>
    <w:qFormat/>
    <w:pPr>
      <w:spacing w:line="221" w:lineRule="atLeast"/>
    </w:pPr>
    <w:rPr>
      <w:rFonts w:ascii="Univers LT Std 47 Cn Lt" w:hAnsi="Univers LT Std 47 Cn Lt" w:cs="Univers LT Std 47 Cn Lt"/>
      <w:szCs w:val="24"/>
    </w:rPr>
  </w:style>
  <w:style w:type="paragraph" w:customStyle="1" w:styleId="metatext">
    <w:name w:val="meta_text"/>
    <w:basedOn w:val="Normale"/>
    <w:qFormat/>
    <w:pPr>
      <w:spacing w:before="150" w:after="150"/>
      <w:ind w:left="150" w:right="150"/>
    </w:pPr>
    <w:rPr>
      <w:rFonts w:ascii="Times New Roman" w:hAnsi="Times New Roman" w:cs="Times New Roman"/>
      <w:sz w:val="18"/>
      <w:szCs w:val="18"/>
    </w:rPr>
  </w:style>
  <w:style w:type="paragraph" w:customStyle="1" w:styleId="summary">
    <w:name w:val="summary"/>
    <w:basedOn w:val="Normale"/>
    <w:qFormat/>
    <w:pPr>
      <w:spacing w:after="240"/>
    </w:pPr>
    <w:rPr>
      <w:rFonts w:ascii="Helvetica" w:hAnsi="Helvetica" w:cs="Helvetica"/>
      <w:color w:val="616161"/>
      <w:szCs w:val="24"/>
    </w:rPr>
  </w:style>
  <w:style w:type="paragraph" w:styleId="Sottotitolo">
    <w:name w:val="Subtitle"/>
    <w:basedOn w:val="Normale"/>
    <w:qFormat/>
    <w:pPr>
      <w:spacing w:after="60"/>
      <w:jc w:val="center"/>
    </w:pPr>
    <w:rPr>
      <w:rFonts w:ascii="Cambria" w:hAnsi="Cambria" w:cs="Cambria"/>
      <w:szCs w:val="24"/>
    </w:rPr>
  </w:style>
  <w:style w:type="paragraph" w:styleId="Testonotaapidipagina">
    <w:name w:val="footnote text"/>
    <w:basedOn w:val="Normale"/>
    <w:qFormat/>
    <w:pPr>
      <w:widowControl w:val="0"/>
      <w:suppressLineNumbers/>
      <w:ind w:left="339" w:hanging="339"/>
    </w:pPr>
    <w:rPr>
      <w:rFonts w:ascii="Liberation Serif" w:eastAsia="Droid Sans Fallback" w:hAnsi="Liberation Serif" w:cs="FreeSans"/>
      <w:sz w:val="20"/>
      <w:lang w:bidi="hi-IN"/>
    </w:rPr>
  </w:style>
  <w:style w:type="paragraph" w:customStyle="1" w:styleId="TitoloecontenutoLTGliederung1">
    <w:name w:val="Titolo e contenuto~LT~Gliederung 1"/>
    <w:qFormat/>
    <w:pPr>
      <w:suppressAutoHyphens/>
      <w:spacing w:before="283" w:line="200" w:lineRule="atLeast"/>
    </w:pPr>
    <w:rPr>
      <w:rFonts w:ascii="FreeSans" w:eastAsia="DejaVu Sans" w:hAnsi="FreeSans" w:cs="Liberation Sans"/>
      <w:color w:val="303030"/>
      <w:sz w:val="48"/>
      <w:szCs w:val="24"/>
      <w:lang w:eastAsia="zh-CN" w:bidi="hi-IN"/>
    </w:rPr>
  </w:style>
  <w:style w:type="paragraph" w:customStyle="1" w:styleId="TitoloecontenutoLTGliederung2">
    <w:name w:val="Titolo e contenuto~LT~Gliederung 2"/>
    <w:basedOn w:val="TitoloecontenutoLTGliederung1"/>
    <w:qFormat/>
    <w:pPr>
      <w:spacing w:before="227"/>
    </w:pPr>
    <w:rPr>
      <w:rFonts w:cs="FreeSans"/>
      <w:sz w:val="40"/>
    </w:rPr>
  </w:style>
  <w:style w:type="paragraph" w:customStyle="1" w:styleId="Notaapidipagina">
    <w:name w:val="Nota a piè di pagina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1802</Words>
  <Characters>10275</Characters>
  <Application>Microsoft Office Word</Application>
  <DocSecurity>0</DocSecurity>
  <Lines>85</Lines>
  <Paragraphs>24</Paragraphs>
  <ScaleCrop>false</ScaleCrop>
  <Company>Microsoft</Company>
  <LinksUpToDate>false</LinksUpToDate>
  <CharactersWithSpaces>12053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Palagi</dc:creator>
  <cp:lastModifiedBy>admin</cp:lastModifiedBy>
  <cp:revision>2</cp:revision>
  <cp:lastPrinted>2016-11-23T08:01:00Z</cp:lastPrinted>
  <dcterms:created xsi:type="dcterms:W3CDTF">2016-11-23T10:13:00Z</dcterms:created>
  <dcterms:modified xsi:type="dcterms:W3CDTF">2016-11-23T10:13:00Z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